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pPr>
        <w:jc w:val="center"/>
      </w:pPr>
      <w:r>
        <w:drawing>
          <wp:inline>
            <wp:extent cx="6035040" cy="4023360"/>
            <wp:docPr id="13" name="Picture 13"/>
            <wp:cNvGraphicFramePr>
              <a:graphicFrameLocks noChangeAspect="1"/>
            </wp:cNvGraphicFramePr>
            <a:graphic>
              <a:graphicData uri="http://schemas.openxmlformats.org/drawingml/2006/picture">
                <pic:pic>
                  <pic:nvPicPr>
                    <pic:cNvPr id="0" name="updated_use_case_diagram.png"/>
                    <pic:cNvPicPr/>
                  </pic:nvPicPr>
                  <pic:blipFill>
                    <a:blip r:embed="rId42"/>
                    <a:stretch>
                      <a:fillRect/>
                    </a:stretch>
                  </pic:blipFill>
                  <pic:spPr>
                    <a:xfrm>
                      <a:off x="0" y="0"/>
                      <a:ext cx="6035040" cy="4023360"/>
                    </a:xfrm>
                    <a:prstGeom prst="rect"/>
                  </pic:spPr>
                </pic:pic>
              </a:graphicData>
            </a:graphic>
          </wp:inline>
        </w:drawing>
      </w:r>
    </w:p>
    <w:p>
      <w:pPr>
        <w:jc w:val="center"/>
      </w:pPr>
      <w:r>
        <w:rPr>
          <w:i/>
          <w:sz w:val="20"/>
        </w:rPr>
        <w:t>Figure 6.1. Updated Use Case Diagram aligned with the implemented TreeTrace system</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pPr>
        <w:jc w:val="center"/>
      </w:pPr>
      <w:r>
        <w:drawing>
          <wp:inline>
            <wp:extent cx="6035040" cy="4023360"/>
            <wp:docPr id="14" name="Picture 14"/>
            <wp:cNvGraphicFramePr>
              <a:graphicFrameLocks noChangeAspect="1"/>
            </wp:cNvGraphicFramePr>
            <a:graphic>
              <a:graphicData uri="http://schemas.openxmlformats.org/drawingml/2006/picture">
                <pic:pic>
                  <pic:nvPicPr>
                    <pic:cNvPr id="0" name="updated_context_dfd.png"/>
                    <pic:cNvPicPr/>
                  </pic:nvPicPr>
                  <pic:blipFill>
                    <a:blip r:embed="rId43"/>
                    <a:stretch>
                      <a:fillRect/>
                    </a:stretch>
                  </pic:blipFill>
                  <pic:spPr>
                    <a:xfrm>
                      <a:off x="0" y="0"/>
                      <a:ext cx="6035040" cy="4023360"/>
                    </a:xfrm>
                    <a:prstGeom prst="rect"/>
                  </pic:spPr>
                </pic:pic>
              </a:graphicData>
            </a:graphic>
          </wp:inline>
        </w:drawing>
      </w:r>
    </w:p>
    <w:p>
      <w:pPr>
        <w:jc w:val="center"/>
      </w:pPr>
      <w:r>
        <w:rPr>
          <w:i/>
          <w:sz w:val="20"/>
        </w:rPr>
        <w:t>Figure 7.1. Updated Context Flow Diagram showing TreeTrace external entities and system boundary</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pPr>
        <w:jc w:val="center"/>
      </w:pPr>
      <w:r>
        <w:drawing>
          <wp:inline>
            <wp:extent cx="6035040" cy="4023360"/>
            <wp:docPr id="15" name="Picture 15"/>
            <wp:cNvGraphicFramePr>
              <a:graphicFrameLocks noChangeAspect="1"/>
            </wp:cNvGraphicFramePr>
            <a:graphic>
              <a:graphicData uri="http://schemas.openxmlformats.org/drawingml/2006/picture">
                <pic:pic>
                  <pic:nvPicPr>
                    <pic:cNvPr id="0" name="updated_level1_dfd.png"/>
                    <pic:cNvPicPr/>
                  </pic:nvPicPr>
                  <pic:blipFill>
                    <a:blip r:embed="rId44"/>
                    <a:stretch>
                      <a:fillRect/>
                    </a:stretch>
                  </pic:blipFill>
                  <pic:spPr>
                    <a:xfrm>
                      <a:off x="0" y="0"/>
                      <a:ext cx="6035040" cy="4023360"/>
                    </a:xfrm>
                    <a:prstGeom prst="rect"/>
                  </pic:spPr>
                </pic:pic>
              </a:graphicData>
            </a:graphic>
          </wp:inline>
        </w:drawing>
      </w:r>
    </w:p>
    <w:p>
      <w:pPr>
        <w:jc w:val="center"/>
      </w:pPr>
      <w:r>
        <w:rPr>
          <w:i/>
          <w:sz w:val="20"/>
        </w:rPr>
        <w:t>Figure 8.1. Updated Level 1 Data Flow Diagram showing major TreeTrace processes and data stores</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