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 </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 </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Sommaire du plan d’entreprise 2025-2029</w:t>
      </w:r>
      <w:r w:rsidR="002E3339">
        <w:rPr>
          <w:b/>
          <w:color w:val="auto"/>
          <w:sz w:val="36"/>
          <w:szCs w:val="36"/>
        </w:rPr>
        <w:t xml:space="preserve"/>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Sommaire du budget d’investissement 2025</w:t>
      </w:r>
      <w:r w:rsidR="00EB5948">
        <w:rPr>
          <w:b/>
          <w:bCs/>
          <w:sz w:val="36"/>
          <w:szCs w:val="36"/>
        </w:rPr>
        <w:t/>
      </w:r>
      <w:r w:rsidR="002E3339">
        <w:rPr>
          <w:b/>
          <w:bCs/>
          <w:sz w:val="36"/>
          <w:szCs w:val="36"/>
        </w:rPr>
        <w:t xml:space="preserve"/>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Contenu</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1.0 Executive Summary</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4</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Vue d’ensemble</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5</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 et principales autorités</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5</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Aperçu de la gouvernance publique : fonctionnement à distanciation</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7</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Profil de la politique publique : un ensemble de compétences commerciales unique</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8</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Orientation stratégique de CDEV</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8</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Activités principales et environnement opérationnel de CDEV</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8</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Performance d’entreprise 2024 de CDEV</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8</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Les piliers d’expertise de CDEV</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10</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Orientation stratégique future de CDEV</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12</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déclaration stratégique</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12</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stratégiques</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12</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Nouveaux services et offres améliorées potentiels</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14</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Activités principales, résultats prévus et objectifs du groupe de sociétés de CDEV</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16</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16</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Société de financement d’urgence pour les entreprises du Canada</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16</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Fonds de croissance du Canada</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17</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Canada Hibernia Holding Corporation</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18</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Canada Indigenous Loan Guarantee Corporation</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19</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Canada Innovation Corporation</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20</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Trans Mountain Corporation and TMP Finance</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20</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4.8 Prêteur pour Telesat Lightspeed</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22</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mandats</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23</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5.0 Section financière</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25</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Aperçu financier pour 2024</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25</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5.2 Rapports financiers trimestriels</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26</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Commentaires, points saillants et hypothèses clés des projections financières</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26</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Points en suspens</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26</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Hypothèses</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26</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Points saillants et discussion</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27</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Budget d’investissement</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28</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5.5 Budget de fonctionnement</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29</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D’ADMINISTRATION ET DIRECTION</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32</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États financiers pro forma consolidés de CDEV</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38</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au-delà</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42</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du gouvernement et conformité aux exigences législatives et politiques</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47</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Plan d’entreprise de CEEFC 2025-2029</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54</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PLAN CORPORATIF CGF 2025-2029</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54</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PLAN CORPORATIF CHHC 2025-2029</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54</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PLAN CORPORATIF TMC 2025-2029</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54</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1.0 Résumé exécutif</w:t>
      </w:r>
      <w:r w:rsidR="001232E2">
        <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Ces dernières années, CDEV a joué un rôle de plus en plus important dans le soutien à l’agenda économique du gouvernement. CDEV entreprend désormais un éventail d’activités plus large pour fournir des services et une expertise en matière de conseil financier afin de soutenir les objectifs économiques du pays. CDEV a été au cœur de la gestion et de la mise en œuvre de projets et d’initiatives économiques de haut niveau essentiels pour le gouvernement.</w:t>
      </w:r>
      <w:r w:rsidR="001A3B5F">
        <w:rPr>
          <w:lang w:val="en-CA"/>
        </w:rPr>
        <w:t/>
      </w:r>
      <w:r w:rsidRPr="00202DED">
        <w:rPr>
          <w:lang w:val="en-CA"/>
        </w:rPr>
        <w:t xml:space="preserve"/>
      </w:r>
      <w:r w:rsidR="002760CC" w:rsidRPr="00202DED">
        <w:rPr>
          <w:lang w:val="en-CA"/>
        </w:rPr>
        <w:t xml:space="preserve"/>
      </w:r>
      <w:r w:rsidRPr="00202DED">
        <w:rPr>
          <w:lang w:val="en-CA"/>
        </w:rPr>
        <w:t xml:space="preserve"/>
      </w:r>
      <w:r w:rsidR="00EC02F3">
        <w:t/>
      </w:r>
      <w:r w:rsidR="008613F5" w:rsidRPr="00202DED">
        <w:t xml:space="preserve"/>
      </w:r>
      <w:r w:rsidR="00EC02F3">
        <w:t/>
      </w:r>
      <w:r w:rsidR="008613F5" w:rsidRPr="00202DED">
        <w:t xml:space="preserve"/>
      </w:r>
      <w:r w:rsidR="008613F5" w:rsidRPr="00202DED">
        <w:rPr>
          <w:rFonts w:cs="Aptos"/>
        </w:rPr>
        <w:t/>
      </w:r>
      <w:r w:rsidR="008613F5" w:rsidRPr="00202DED">
        <w:t xml:space="preserve"/>
      </w:r>
      <w:r w:rsidR="00B36386" w:rsidRPr="00202DED">
        <w:t xml:space="preserve"/>
      </w:r>
      <w:r w:rsidR="002F1395" w:rsidRPr="00202DED">
        <w:t/>
      </w:r>
      <w:r w:rsidR="00B36386" w:rsidRPr="00202DED">
        <w:t xml:space="preserve"/>
      </w:r>
      <w:r w:rsidR="00F97DAF" w:rsidRPr="00202DED">
        <w:t xml:space="preserve"/>
      </w:r>
      <w:r w:rsidR="002F1395" w:rsidRPr="00202DED">
        <w:t xml:space="preserve"/>
      </w:r>
      <w:r w:rsidR="004466AF" w:rsidRPr="00202DED">
        <w:t/>
      </w:r>
      <w:r w:rsidR="00B36386" w:rsidRPr="00202DED">
        <w:t xml:space="preserve"/>
      </w:r>
      <w:r w:rsidR="001160D3" w:rsidRPr="00202DED">
        <w:t xml:space="preserve"/>
      </w:r>
      <w:r w:rsidR="0065061E" w:rsidRPr="00202DED">
        <w:t xml:space="preserve"/>
      </w:r>
      <w:r w:rsidR="001160D3" w:rsidRPr="00202DED">
        <w:t/>
      </w:r>
      <w:r w:rsidR="0065061E" w:rsidRPr="00202DED">
        <w:t xml:space="preserve"/>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joué un rôle déterminant dans plusieurs transactions et projets complexes et d’envergure, notamment :</w:t>
      </w:r>
      <w:r w:rsidR="00530DEE">
        <w:t xml:space="preserve"/>
      </w:r>
      <w:r w:rsidR="00A64ABD">
        <w:t xml:space="preserve"/>
      </w:r>
      <w:r w:rsidR="00793D40">
        <w:t/>
      </w:r>
    </w:p>
    <w:p w14:paraId="61CC9E87" w14:textId="77777777" w:rsidR="00763655" w:rsidRDefault="00793D40" w:rsidP="001746BE">
      <w:pPr>
        <w:pStyle w:val="ListParagraph"/>
        <w:numPr>
          <w:ilvl w:val="0"/>
          <w:numId w:val="31"/>
        </w:numPr>
        <w:spacing w:after="0" w:line="240" w:lineRule="auto"/>
      </w:pPr>
      <w:r>
        <w:t>CDEV s’est concentré sur la garantie des ressources et du financement nécessaires au succès du projet d’expansion de Trans Mountain.</w:t>
      </w:r>
      <w:r w:rsidR="00E55119" w:rsidRPr="00202DED">
        <w:t xml:space="preserve"/>
      </w:r>
      <w:r w:rsidR="007E3886" w:rsidRPr="00202DED">
        <w:t xml:space="preserve"/>
      </w:r>
      <w:r w:rsidR="00137584" w:rsidRPr="00202DED">
        <w:t/>
      </w:r>
      <w:r w:rsidR="00DD3DF1" w:rsidRPr="00202DED">
        <w:t/>
      </w:r>
      <w:r w:rsidR="3E905A56" w:rsidRPr="00202DED">
        <w:t xml:space="preserve"/>
      </w:r>
      <w:r w:rsidR="00DD3DF1" w:rsidRPr="00202DED">
        <w:t xml:space="preserve"/>
      </w:r>
      <w:r w:rsidR="00E55119" w:rsidRPr="00202DED">
        <w:t xml:space="preserve"/>
      </w:r>
      <w:r w:rsidR="008D42CE" w:rsidRPr="00202DED">
        <w:t xml:space="preserve"/>
      </w:r>
      <w:r w:rsidR="0087552D" w:rsidRPr="00202DED">
        <w:t/>
      </w:r>
      <w:r w:rsidR="0089621F" w:rsidRPr="00202DED">
        <w:t xml:space="preserve"/>
      </w:r>
    </w:p>
    <w:p w14:paraId="1F3879C2" w14:textId="77777777" w:rsidR="00810035" w:rsidRPr="001746BE" w:rsidRDefault="00763655" w:rsidP="001746BE">
      <w:pPr>
        <w:pStyle w:val="ListParagraph"/>
        <w:numPr>
          <w:ilvl w:val="0"/>
          <w:numId w:val="31"/>
        </w:numPr>
        <w:spacing w:after="0" w:line="240" w:lineRule="auto"/>
        <w:rPr>
          <w:lang w:val="en-CA"/>
        </w:rPr>
      </w:pPr>
      <w:r>
        <w:t>CDEV a conçu et dirigé la mise en œuvre de la Facilité de financement d’urgence pour les grands employeurs, une des pierres angulaires du Programme de réponse économique à la COVID-19 du gouvernement.</w:t>
      </w:r>
      <w:r w:rsidR="00BB7C5E" w:rsidRPr="00202DED">
        <w:t xml:space="preserve"/>
      </w:r>
      <w:r w:rsidR="0060527A" w:rsidRPr="00202DED">
        <w:t/>
      </w:r>
      <w:r w:rsidR="00BB7C5E" w:rsidRPr="00202DED">
        <w:t xml:space="preserve"/>
      </w:r>
      <w:r w:rsidR="00CB1C64" w:rsidRPr="00202DED">
        <w:t xml:space="preserve"/>
      </w:r>
      <w:r w:rsidR="00CB1C64" w:rsidRPr="00202DED">
        <w:rPr>
          <w:lang w:val="en-CA"/>
        </w:rPr>
        <w:t/>
      </w:r>
      <w:r w:rsidR="00754752" w:rsidRPr="00202DED">
        <w:rPr>
          <w:lang w:val="en-CA"/>
        </w:rPr>
        <w:t/>
      </w:r>
      <w:r w:rsidR="0060527A" w:rsidRPr="00202DED">
        <w:rPr>
          <w:lang w:val="en-CA"/>
        </w:rPr>
        <w:t xml:space="preserve"/>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 a lancé le Fonds de croissance du Canada, qui est au cœur du plan gouvernemental de décarbonisation et de croissance propre.</w:t>
      </w:r>
      <w:r w:rsidR="00CB1C64" w:rsidRPr="00202DED">
        <w:rPr>
          <w:lang w:val="en-CA"/>
        </w:rPr>
        <w:t xml:space="preserve"/>
      </w:r>
      <w:r w:rsidR="00754752" w:rsidRPr="00202DED">
        <w:rPr>
          <w:lang w:val="en-CA"/>
        </w:rPr>
        <w:t/>
      </w:r>
      <w:r w:rsidR="00CB1C64" w:rsidRPr="00202DED">
        <w:rPr>
          <w:lang w:val="en-CA"/>
        </w:rPr>
        <w:t xml:space="preserve"/>
      </w:r>
      <w:r w:rsidR="00E23877" w:rsidRPr="00202DED">
        <w:rPr>
          <w:lang w:val="en-CA"/>
        </w:rPr>
        <w:t xml:space="preserve"/>
      </w:r>
    </w:p>
    <w:p w14:paraId="632A1EF1" w14:textId="34D2273F" w:rsidR="00377827" w:rsidRDefault="00ED5E07" w:rsidP="001746BE">
      <w:pPr>
        <w:pStyle w:val="ListParagraph"/>
        <w:numPr>
          <w:ilvl w:val="0"/>
          <w:numId w:val="31"/>
        </w:numPr>
        <w:spacing w:after="0" w:line="240" w:lineRule="auto"/>
      </w:pPr>
      <w:r w:rsidRPr="00BD355B">
        <w:t>CDEV a aidé le gouvernement du Canada à structurer une transaction financière de 2,14 milliards de dollars avec Telesat afin de soutenir le plus grand programme spatial du Canada, tel qu’annoncé en septembre 2024.</w:t>
      </w:r>
      <w:r w:rsidR="005B0A44">
        <w:t xml:space="preserve"/>
      </w:r>
      <w:r w:rsidR="00A609F3">
        <w:t/>
      </w:r>
      <w:r w:rsidR="005B0A44">
        <w:t xml:space="preserve"/>
      </w:r>
      <w:r w:rsidR="00A609F3">
        <w:t/>
      </w:r>
      <w:r w:rsidR="003224E7">
        <w:t xml:space="preserve"/>
      </w:r>
      <w:r w:rsidR="00A609F3">
        <w:t/>
      </w:r>
      <w:r w:rsidR="005374E1">
        <w:t xml:space="preserve"/>
      </w:r>
      <w:r w:rsidR="00A609F3">
        <w:t xml:space="preserve"/>
      </w:r>
      <w:r w:rsidR="00CF2891">
        <w:t xml:space="preserve"/>
      </w:r>
      <w:r w:rsidR="00693ECC">
        <w:t/>
      </w:r>
      <w:r w:rsidR="00CF2891">
        <w:t xml:space="preserve"/>
      </w:r>
      <w:r w:rsidR="00693ECC">
        <w:t/>
      </w:r>
      <w:r w:rsidR="00CF2891">
        <w:t/>
      </w:r>
      <w:r w:rsidR="00693ECC">
        <w:t/>
      </w:r>
      <w:r w:rsidR="00E26248">
        <w:t xml:space="preserve"/>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a reçu le mandat de soutenir le gouvernement dans la conception et la mise en œuvre du Programme fédéral de garanties de prêts pour les Autochtones, doté de 5 milliards de dollars.</w:t>
      </w:r>
      <w:r w:rsidR="00D35EA2">
        <w:rPr>
          <w:lang w:val="en-CA"/>
        </w:rPr>
        <w:t xml:space="preserve"/>
      </w:r>
      <w:r w:rsidRPr="001746BE">
        <w:rPr>
          <w:lang w:val="en-CA"/>
        </w:rPr>
        <w:t xml:space="preserve"/>
      </w:r>
      <w:r w:rsidR="004823DC">
        <w:rPr>
          <w:lang w:val="en-CA"/>
        </w:rPr>
        <w:t/>
      </w:r>
      <w:r w:rsidRPr="001746BE">
        <w:rPr>
          <w:lang w:val="en-CA"/>
        </w:rPr>
        <w:t xml:space="preserve"/>
      </w:r>
      <w:r w:rsidR="003C12B1">
        <w:rPr>
          <w:lang w:val="en-CA"/>
        </w:rPr>
        <w:t/>
      </w:r>
      <w:r w:rsidR="00D2024F">
        <w:rPr>
          <w:lang w:val="en-CA"/>
        </w:rPr>
        <w:t/>
      </w:r>
      <w:r w:rsidR="003C12B1">
        <w:rPr>
          <w:lang w:val="en-CA"/>
        </w:rPr>
        <w:t xml:space="preserve"/>
      </w:r>
      <w:r w:rsidRPr="001746BE">
        <w:rPr>
          <w:lang w:val="en-CA"/>
        </w:rPr>
        <w:t xml:space="preserve"/>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L’expertise et les compétences commerciales de CDEV sont uniques au sein du gouvernement fédéral, et cette croissance substantielle des mandats a démontré la forte demande pour nos capacités. En raison de cette augmentation des activités, CDEV poursuit sa transformation grâce à son travail impactant et à des perspectives commerciales solides et constantes. Ce Plan corporatif 2025-2029, ainsi que le Rapport annuel 2023 publié en mai 2024, documentent cette évolution et exposent la manière dont son environnement opérationnel redéfinit ses priorités et son orientation stratégique.</w:t>
      </w:r>
      <w:r w:rsidR="00BC6197" w:rsidRPr="00202DED">
        <w:t xml:space="preserve"/>
      </w:r>
      <w:r w:rsidR="00977FD8" w:rsidRPr="00202DED">
        <w:rPr>
          <w:lang w:val="en-CA"/>
        </w:rPr>
        <w:t xml:space="preserve"/>
      </w:r>
      <w:r w:rsidR="009E7E95">
        <w:rPr>
          <w:lang w:val="en-CA"/>
        </w:rPr>
        <w:t xml:space="preserve"/>
      </w:r>
      <w:r w:rsidR="00613AC1">
        <w:rPr>
          <w:lang w:val="en-CA"/>
        </w:rPr>
        <w:t xml:space="preserve"/>
      </w:r>
      <w:r w:rsidR="00D1580C">
        <w:rPr>
          <w:lang w:val="en-CA"/>
        </w:rPr>
        <w:t/>
      </w:r>
      <w:r w:rsidR="00003B0C" w:rsidRPr="00202DED">
        <w:rPr>
          <w:lang w:val="en-CA"/>
        </w:rPr>
        <w:t xml:space="preserve"/>
      </w:r>
      <w:r w:rsidR="00BC6197" w:rsidRPr="00202DED">
        <w:rPr>
          <w:lang w:val="en-CA"/>
        </w:rPr>
        <w:t xml:space="preserve"/>
      </w:r>
      <w:r w:rsidR="00C8662D" w:rsidRPr="00202DED">
        <w:rPr>
          <w:lang w:val="en-CA"/>
        </w:rPr>
        <w:t/>
      </w:r>
      <w:r w:rsidR="00BC6197" w:rsidRPr="00202DED">
        <w:rPr>
          <w:lang w:val="en-CA"/>
        </w:rPr>
        <w:t/>
      </w:r>
      <w:r w:rsidR="00C8662D" w:rsidRPr="00202DED">
        <w:rPr>
          <w:lang w:val="en-CA"/>
        </w:rPr>
        <w:t xml:space="preserve"/>
      </w:r>
      <w:r w:rsidR="002A2EEE" w:rsidRPr="00202DED">
        <w:rPr>
          <w:lang w:val="en-CA"/>
        </w:rPr>
        <w:t xml:space="preserve"/>
      </w:r>
      <w:r w:rsidR="006B4AB5">
        <w:rPr>
          <w:lang w:val="en-CA"/>
        </w:rPr>
        <w:t/>
      </w:r>
      <w:r w:rsidR="00C8662D" w:rsidRPr="00202DED">
        <w:rPr>
          <w:lang w:val="en-CA"/>
        </w:rPr>
        <w:t xml:space="preserve"/>
      </w:r>
      <w:r w:rsidR="00472531" w:rsidRPr="00202DED">
        <w:rPr>
          <w:lang w:val="en-CA"/>
        </w:rPr>
        <w:t/>
      </w:r>
      <w:r w:rsidR="002A2EEE" w:rsidRPr="00202DED">
        <w:rPr>
          <w:lang w:val="en-CA"/>
        </w:rPr>
        <w:t/>
      </w:r>
      <w:r w:rsidR="00472531" w:rsidRPr="00202DED">
        <w:rPr>
          <w:lang w:val="en-CA"/>
        </w:rPr>
        <w:t xml:space="preserve"/>
      </w:r>
      <w:r w:rsidR="00363ADD" w:rsidRPr="00202DED">
        <w:rPr>
          <w:lang w:val="en-CA"/>
        </w:rPr>
        <w:t xml:space="preserve"/>
      </w:r>
      <w:r w:rsidR="00E67D75">
        <w:rPr>
          <w:lang w:val="en-CA"/>
        </w:rPr>
        <w:t/>
      </w:r>
      <w:r w:rsidR="00052D6A" w:rsidRPr="00202DED">
        <w:rPr>
          <w:lang w:val="en-CA"/>
        </w:rPr>
        <w:t xml:space="preserve"/>
      </w:r>
      <w:r w:rsidR="00E67D75">
        <w:rPr>
          <w:lang w:val="en-CA"/>
        </w:rPr>
        <w:t xml:space="preserve"/>
      </w:r>
      <w:r w:rsidR="00C059B0">
        <w:rPr>
          <w:lang w:val="en-CA"/>
        </w:rPr>
        <w:t xml:space="preserve"/>
      </w:r>
      <w:r w:rsidR="00975C3B">
        <w:rPr>
          <w:lang w:val="en-CA"/>
        </w:rPr>
        <w:t/>
      </w:r>
      <w:r w:rsidR="00EF3B0D">
        <w:rPr>
          <w:lang w:val="en-CA"/>
        </w:rPr>
        <w:t xml:space="preserve"/>
      </w:r>
      <w:r w:rsidR="00A73A52" w:rsidRPr="00202DED">
        <w:rPr>
          <w:lang w:val="en-CA"/>
        </w:rPr>
        <w:t xml:space="preserve"/>
      </w:r>
      <w:r w:rsidR="00185D76" w:rsidRPr="00202DED">
        <w:rPr>
          <w:lang w:val="en-CA"/>
        </w:rPr>
        <w:t/>
      </w:r>
      <w:r w:rsidR="00DF67D4" w:rsidRPr="00202DED">
        <w:rPr>
          <w:lang w:val="en-CA"/>
        </w:rPr>
        <w:t/>
      </w:r>
      <w:r w:rsidR="00185D76" w:rsidRPr="00202DED">
        <w:rPr>
          <w:lang w:val="en-CA"/>
        </w:rPr>
        <w:t xml:space="preserve"/>
      </w:r>
      <w:r w:rsidR="0D6883D1" w:rsidRPr="00202DED">
        <w:rPr>
          <w:lang w:val="en-CA"/>
        </w:rPr>
        <w:t/>
      </w:r>
      <w:r w:rsidR="00185D76" w:rsidRPr="00202DED">
        <w:rPr>
          <w:lang w:val="en-CA"/>
        </w:rPr>
        <w:t xml:space="preserve"/>
      </w:r>
      <w:r w:rsidR="00DF67D4" w:rsidRPr="00202DED">
        <w:rPr>
          <w:lang w:val="en-CA"/>
        </w:rPr>
        <w:t/>
      </w:r>
      <w:r w:rsidR="3CCF0297" w:rsidRPr="00202DED">
        <w:rPr>
          <w:lang w:val="en-CA"/>
        </w:rPr>
        <w:t/>
      </w:r>
      <w:r w:rsidR="00DF67D4" w:rsidRPr="00202DED">
        <w:rPr>
          <w:lang w:val="en-CA"/>
        </w:rPr>
        <w:t xml:space="preserve"/>
      </w:r>
      <w:r w:rsidR="00BA5621" w:rsidRPr="00202DED">
        <w:rPr>
          <w:lang w:val="en-CA"/>
        </w:rPr>
        <w:t/>
      </w:r>
      <w:r w:rsidR="00DF67D4" w:rsidRPr="00202DED">
        <w:rPr>
          <w:lang w:val="en-CA"/>
        </w:rPr>
        <w:t xml:space="preserve"/>
      </w:r>
      <w:r w:rsidR="00F17815" w:rsidRPr="00202DED">
        <w:rPr>
          <w:lang w:val="en-CA"/>
        </w:rPr>
        <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plan corporatif, CDEV présente les éléments de son orientation stratégique, en s’appuyant sur sa transformation culturelle vers une organisation performante et axée sur les résultats, ainsi que sur ses domaines de compétences clés :</w:t>
      </w:r>
      <w:r w:rsidR="00D80F31">
        <w:t/>
      </w:r>
      <w:r w:rsidRPr="00202DED">
        <w:t xml:space="preserve"/>
      </w:r>
      <w:r w:rsidR="00711CD3" w:rsidRPr="00202DED">
        <w:t/>
      </w:r>
      <w:r w:rsidR="00F81E54" w:rsidRPr="00202DED">
        <w:t xml:space="preserve"/>
      </w:r>
      <w:r w:rsidR="00711CD3" w:rsidRPr="00202DED">
        <w:t/>
      </w:r>
      <w:r w:rsidRPr="00202DED">
        <w:t xml:space="preserve"/>
      </w:r>
      <w:r w:rsidR="00F81E54" w:rsidRPr="00202DED">
        <w:t xml:space="preserve"/>
      </w:r>
      <w:r w:rsidR="00EF1618" w:rsidRPr="00202DED">
        <w:t xml:space="preserve"/>
      </w:r>
      <w:r w:rsidR="000E3C55" w:rsidRPr="00202DED">
        <w:t/>
      </w:r>
      <w:r w:rsidR="002D4D84" w:rsidRPr="00202DED">
        <w:t xml:space="preserve"/>
      </w:r>
      <w:r w:rsidR="00547B6B" w:rsidRPr="00202DED">
        <w:t/>
      </w:r>
      <w:r w:rsidR="00EF1618" w:rsidRPr="00202DED">
        <w:t xml:space="preserve"/>
      </w:r>
      <w:r w:rsidR="00A55648" w:rsidRPr="00202DED">
        <w:t xml:space="preserve"/>
      </w:r>
      <w:r w:rsidR="006A4A1A">
        <w:t xml:space="preserve"/>
      </w:r>
      <w:r w:rsidR="00A55648" w:rsidRPr="00202DED">
        <w:t/>
      </w:r>
      <w:r w:rsidR="00F47431" w:rsidRPr="00202DED">
        <w:t/>
      </w:r>
    </w:p>
    <w:p w14:paraId="3320E734" w14:textId="77777777" w:rsidR="00F47431" w:rsidRPr="00202DED" w:rsidRDefault="00F47431" w:rsidP="00CC2E3D">
      <w:pPr>
        <w:numPr>
          <w:ilvl w:val="1"/>
          <w:numId w:val="1"/>
        </w:numPr>
        <w:spacing w:after="0" w:line="240" w:lineRule="auto"/>
      </w:pPr>
      <w:r w:rsidRPr="00202DED">
        <w:t>Gestion d’actifs</w:t>
      </w:r>
    </w:p>
    <w:p w14:paraId="10529581" w14:textId="77777777" w:rsidR="00F47431" w:rsidRPr="00202DED" w:rsidRDefault="00F47431" w:rsidP="00CC2E3D">
      <w:pPr>
        <w:numPr>
          <w:ilvl w:val="1"/>
          <w:numId w:val="1"/>
        </w:numPr>
        <w:spacing w:after="0" w:line="240" w:lineRule="auto"/>
      </w:pPr>
      <w:r w:rsidRPr="00202DED">
        <w:t>Monétisation d’actifs</w:t>
      </w:r>
    </w:p>
    <w:p w14:paraId="4B3E20A6" w14:textId="77777777" w:rsidR="00F47431" w:rsidRPr="00202DED" w:rsidRDefault="00F47431" w:rsidP="00CC2E3D">
      <w:pPr>
        <w:numPr>
          <w:ilvl w:val="1"/>
          <w:numId w:val="1"/>
        </w:numPr>
        <w:spacing w:after="0" w:line="240" w:lineRule="auto"/>
      </w:pPr>
      <w:r w:rsidRPr="00202DED">
        <w:t>Solutions de capital et de financement</w:t>
      </w:r>
    </w:p>
    <w:p w14:paraId="29774F48" w14:textId="77777777" w:rsidR="00F47431" w:rsidRPr="00202DED" w:rsidRDefault="00F47431" w:rsidP="00CC2E3D">
      <w:pPr>
        <w:numPr>
          <w:ilvl w:val="1"/>
          <w:numId w:val="1"/>
        </w:numPr>
        <w:spacing w:after="0" w:line="240" w:lineRule="auto"/>
      </w:pPr>
      <w:r w:rsidRPr="00202DED">
        <w:t>Conseils financiers et examens stratégiques</w:t>
      </w:r>
    </w:p>
    <w:p w14:paraId="612941DD" w14:textId="77777777" w:rsidR="00F47431" w:rsidRPr="00202DED" w:rsidRDefault="00F47431" w:rsidP="00CC2E3D">
      <w:pPr>
        <w:numPr>
          <w:ilvl w:val="1"/>
          <w:numId w:val="1"/>
        </w:numPr>
        <w:spacing w:after="0" w:line="240" w:lineRule="auto"/>
      </w:pPr>
      <w:r w:rsidRPr="00202DED">
        <w:t>Participation économique des Autochtones</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Les objectifs et résultats de CDEV pour la période 2025-2029 sont guidés par les principes stratégiques suivants :</w:t>
      </w:r>
      <w:r w:rsidR="00623475">
        <w:t/>
      </w:r>
      <w:r w:rsidRPr="00202DED">
        <w:t xml:space="preserve"/>
      </w:r>
      <w:r w:rsidR="0053786A" w:rsidRPr="00202DED">
        <w:t xml:space="preserve"/>
      </w:r>
      <w:r w:rsidR="00A644F2" w:rsidRPr="00202DED">
        <w:t/>
      </w:r>
      <w:r w:rsidRPr="00202DED">
        <w:t xml:space="preserve"/>
      </w:r>
      <w:r w:rsidR="00202DED">
        <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S'engager dans les missions à forte valeur ajoutée</w:t>
      </w:r>
      <w:r w:rsidRPr="2124A6F5">
        <w:rPr>
          <w:b/>
          <w:bCs/>
        </w:rPr>
        <w:t/>
      </w:r>
      <w:r>
        <w:t xml:space="preserve"> : développer le portefeuille de missions de CDEV afin d'assurer que nos compétences et expertise uniques sont déployées pour générer un impact maximal pour le Canada.</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 xml:space="preserve">Assurer l'efficacité et la durabilité financières : développer </w:t>
      </w:r>
      <w:r w:rsidRPr="009916E9">
        <w:rPr>
          <w:b/>
          <w:bCs/>
        </w:rPr>
        <w:t/>
      </w:r>
      <w:r w:rsidRPr="009916E9">
        <w:t xml:space="preserve">et mettre en œuvre des processus supplémentaires pour optimiser les efficacités de coûts, notamment par l’analyse continue des coûts-avantages et la recherche d’un bon rapport qualité-prix, afin d’assurer la viabilité financière à long terme de CDEV.</w:t>
      </w:r>
      <w:r w:rsidR="006A12A7">
        <w:t xml:space="preserve"/>
      </w:r>
      <w:r w:rsidRPr="009916E9">
        <w:t xml:space="preserve"/>
      </w:r>
      <w:r w:rsidR="00736303">
        <w:t/>
      </w:r>
      <w:r w:rsidR="00747CFD">
        <w:t/>
      </w:r>
      <w:r w:rsidR="00DE5EEB">
        <w:t xml:space="preserve"/>
      </w:r>
      <w:r w:rsidR="002948F4">
        <w:t/>
      </w:r>
      <w:r w:rsidR="00DE5EEB">
        <w:t/>
      </w:r>
      <w:r w:rsidR="00F02069">
        <w:t xml:space="preserve"/>
      </w:r>
      <w:r w:rsidRPr="009916E9">
        <w:t xml:space="preserve"/>
      </w:r>
      <w:r w:rsidR="00F02069">
        <w:t/>
      </w:r>
      <w:r w:rsidRPr="009916E9">
        <w:t/>
      </w:r>
      <w:r w:rsidR="00F02069">
        <w:t/>
      </w:r>
      <w:r w:rsidRPr="009916E9">
        <w:t xml:space="preserve"/>
      </w:r>
      <w:r w:rsidR="00BB43F2">
        <w:t xml:space="preserve"/>
      </w:r>
      <w:r w:rsidR="00963547">
        <w:t/>
      </w:r>
      <w:r w:rsidRPr="009916E9">
        <w:t xml:space="preserve"/>
      </w:r>
      <w:r>
        <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Générer de la valeur grâce à la gouvernance</w:t>
      </w:r>
      <w:r w:rsidRPr="009916E9">
        <w:rPr>
          <w:b/>
          <w:bCs/>
        </w:rPr>
        <w:t/>
      </w:r>
      <w:r w:rsidRPr="009916E9">
        <w:t xml:space="preserve"> : optimiser la gouvernance au sein du Groupe de sociétés de CDEV.</w:t>
      </w:r>
      <w:r>
        <w:t/>
      </w:r>
      <w:r w:rsidRPr="009916E9">
        <w:t xml:space="preserve"/>
      </w:r>
      <w:r>
        <w:t/>
      </w:r>
      <w:r w:rsidRPr="009916E9">
        <w:t/>
      </w:r>
      <w:r>
        <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Renforcer une culture organisationnelle solide</w:t>
      </w:r>
      <w:r w:rsidRPr="009916E9">
        <w:rPr>
          <w:b/>
          <w:bCs/>
        </w:rPr>
        <w:t/>
      </w:r>
      <w:r w:rsidRPr="009916E9">
        <w:t xml:space="preserve"> : continuer à développer une culture d’entreprise fondée sur la haute performance et une mentalité commerciale, tout en conservant des connaissances spécialisées au profit du gouvernement du Canada.</w:t>
      </w:r>
      <w:r>
        <w:t/>
      </w:r>
      <w:r w:rsidRPr="009916E9">
        <w:t xml:space="preserve"/>
      </w:r>
      <w:r>
        <w:t xml:space="preserve"/>
      </w:r>
      <w:r w:rsidRPr="009916E9">
        <w:t xml:space="preserve"/>
      </w:r>
      <w:r w:rsidR="00EA4042">
        <w:t/>
      </w:r>
      <w:r>
        <w:t xml:space="preserve"/>
      </w:r>
      <w:r w:rsidRPr="009916E9">
        <w:t/>
      </w:r>
      <w:r>
        <w:t xml:space="preserve"/>
      </w:r>
      <w:r w:rsidRPr="009916E9">
        <w:t/>
      </w:r>
      <w:r>
        <w:t xml:space="preserve"/>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CDEV est axée sur sa position en tant que centre d’excellence du gouvernement en matière de conseil financier, grâce à son expertise renouvelée et unique. CDEV demeure prête à répondre aux priorités gouvernementales en apportant un ensemble critique de réflexions et d’expertises commerciales aux situations financières complexes. CDEV se réjouit de continuer à développer sa vision stratégique afin de devenir un partenaire influent pour le gouvernement du Canada, dans l’intérêt de tous les Canadiens.</w:t>
      </w:r>
      <w:r w:rsidRPr="009C6379">
        <w:t xml:space="preserve"/>
      </w:r>
      <w:r w:rsidR="00B116CD">
        <w:t xml:space="preserve"/>
      </w:r>
      <w:proofErr w:type="spellStart"/>
      <w:r w:rsidR="00B116CD">
        <w:t/>
      </w:r>
      <w:proofErr w:type="spellEnd"/>
      <w:r w:rsidR="00B116CD">
        <w:t xml:space="preserve"/>
      </w:r>
      <w:r w:rsidR="00DD45FC">
        <w:t/>
      </w:r>
      <w:r w:rsidR="00B116CD">
        <w:t xml:space="preserve"/>
      </w:r>
      <w:r w:rsidRPr="009C6379">
        <w:t xml:space="preserve"/>
      </w:r>
      <w:r w:rsidR="002F3E22">
        <w:t/>
      </w:r>
      <w:r w:rsidRPr="009C6379">
        <w:t xml:space="preserve"/>
      </w:r>
      <w:r w:rsidR="009E42E3">
        <w:t xml:space="preserve"/>
      </w:r>
      <w:r w:rsidR="00DA234C">
        <w:t/>
      </w:r>
      <w:r w:rsidR="00C729B0">
        <w:t/>
      </w:r>
      <w:r w:rsidR="00DA234C">
        <w:t xml:space="preserve"/>
      </w:r>
      <w:r w:rsidR="009E42E3">
        <w:t xml:space="preserve"/>
      </w:r>
      <w:r w:rsidR="00E542C8">
        <w:t xml:space="preserve"/>
      </w:r>
      <w:r w:rsidR="000C1F0D">
        <w:t xml:space="preserve"/>
      </w:r>
      <w:r w:rsidR="002C59F2">
        <w:t xml:space="preserve"/>
      </w:r>
      <w:r w:rsidR="00D01A18">
        <w:t xml:space="preserve"/>
      </w:r>
      <w:r w:rsidR="00F87357">
        <w:t/>
      </w:r>
      <w:r w:rsidR="002C59F2">
        <w:t xml:space="preserve"/>
      </w:r>
      <w:r w:rsidR="00202DED">
        <w:t/>
      </w:r>
      <w:r w:rsidR="00E14AA4">
        <w:t xml:space="preserve"/>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 Aperçu général</w:t>
      </w:r>
      <w:r w:rsidR="00774728">
        <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2.1 Mandat et principales autorités</w:t>
      </w:r>
      <w:r w:rsidR="00774728">
        <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de choix pour les transactions financières critiques nécessaires pour aider le gouvernement fédéral à atteindre ses objectifs et maximiser la valeur de ses actifs corporatifs.</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constituée en 1982 en vertu des dispositions de la Loi canadienne sur les sociétés par actions et elle est entièrement détenue par Sa Majesté du chef du Canada. L’entreprise est une société d’État mandataire inscrite à l’annexe III, partie II de la Loi sur la gestion des finances publiques (LGFP) et n’est pas assujettie aux dispositions de la Loi de l’impôt sur le revenu. CDEV fait rapport au Parlement par l’intermédiaire du ministre des Finances. Le libellé des statuts constitutifs de CDEV lui confère un mandat large, dont l’objectif principal est de mener des activités dans le meilleur intérêt du Canada, en agissant de manière commerciale.</w:t>
      </w:r>
      <w:r w:rsidRPr="00192E1A">
        <w:rPr>
          <w:i/>
          <w:iCs/>
        </w:rPr>
        <w:t/>
      </w:r>
      <w:r w:rsidRPr="00192E1A">
        <w:t xml:space="preserve"/>
      </w:r>
      <w:r w:rsidRPr="00AC4A65">
        <w:rPr>
          <w:i/>
        </w:rPr>
        <w:t/>
      </w:r>
      <w:r w:rsidRPr="00192E1A">
        <w:t xml:space="preserve"/>
      </w:r>
      <w:r w:rsidR="003F437A" w:rsidRPr="003F437A">
        <w:t/>
      </w:r>
      <w:r w:rsidRPr="00192E1A">
        <w:t xml:space="preserve"/>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Bien que CDEV ait initialement été créée en 1982 pour gérer un large portefeuille de désinvestissements, elle a évolué pour entreprendre un éventail plus large d'activités, voyant son mandat s'étendre afin de fournir une expertise et des services-conseils financiers pour soutenir les objectifs économiques globaux du pays.</w:t>
      </w:r>
      <w:r w:rsidRPr="00CE78A8">
        <w:rPr>
          <w:rFonts w:cs="Aptos"/>
        </w:rPr>
        <w:t/>
      </w:r>
      <w:r w:rsidRPr="00CE78A8">
        <w:t xml:space="preserve"/>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un pont entre les objectifs gouvernementaux et le secteur privé, CDEV applique une rigueur commerciale à l'évaluation, à la gestion et au désinvestissement d'actifs ainsi qu'à d'autres initiatives qu'elle exécute en partenariat avec le gouvernement du Canada.</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offre une perspective unique et précieuse grâce à son expertise financière approfondie sur les transactions commerciales les plus complexes et diversifiées du pays.</w:t>
      </w:r>
      <w:r w:rsidRPr="00CE78A8">
        <w:rPr>
          <w:rFonts w:cs="Aptos"/>
        </w:rPr>
        <w:t/>
      </w:r>
      <w:r w:rsidRPr="00CE78A8">
        <w:t xml:space="preserve"/>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En accord avec son mandat, l’objectif principal de CDEV, avec sa mission d’être le centre d’excellence en conseil financier, est de mener ses activités dans le meilleur intérêt du Canada, en agissant de manière commerciale. En plus de fournir des services-conseils financiers sur de nombreuses missions et projets, CDEV est responsable d’agir comme gestionnaire d’actifs, supervisant et assumant la gestion d’un groupe diversifié de sociétés (le « Groupe de sociétés »). Le Groupe de sociétés de CDEV gère environ 62 milliards de dollars d’actifs, comprenant les huit filiales entièrement détenues suivantes :</w:t>
      </w:r>
      <w:r w:rsidR="00D472E4">
        <w:t xml:space="preserve"/>
      </w:r>
      <w:r w:rsidR="009A4C93">
        <w:t xml:space="preserve"/>
      </w:r>
      <w:proofErr w:type="spellStart"/>
      <w:r w:rsidR="009A4C93">
        <w:t/>
      </w:r>
      <w:proofErr w:type="spellEnd"/>
      <w:r w:rsidR="009A4C93">
        <w:t xml:space="preserve"/>
      </w:r>
      <w:r>
        <w:t xml:space="preserve"/>
      </w:r>
      <w:r w:rsidR="00362ECA">
        <w:t/>
      </w:r>
      <w:r w:rsidR="00425A2A">
        <w:t xml:space="preserve"/>
      </w:r>
      <w:r w:rsidR="00497ADE">
        <w:t xml:space="preserve"/>
      </w:r>
      <w:r w:rsidR="00990A52">
        <w:t/>
      </w:r>
      <w:r>
        <w:t/>
      </w:r>
      <w:r w:rsidR="00AF599D">
        <w:t xml:space="preserve"/>
      </w:r>
      <w:r w:rsidR="0B66482B">
        <w:t xml:space="preserve"/>
      </w:r>
      <w:r w:rsidR="00D91FBF">
        <w:t xml:space="preserve"/>
      </w:r>
      <w:r w:rsidR="003B22CA">
        <w:t/>
      </w:r>
      <w:r w:rsidR="001D4A9B">
        <w:t xml:space="preserve"/>
      </w:r>
      <w:r w:rsidR="004B369D">
        <w:t/>
      </w:r>
      <w:r w:rsidR="003B22CA">
        <w:t xml:space="preserve"/>
      </w:r>
      <w:r w:rsidR="00AF599D">
        <w:t xml:space="preserve"/>
      </w:r>
      <w:r w:rsidR="08F965F7">
        <w:t/>
      </w:r>
      <w:r w:rsidR="00DB6E15">
        <w:t xml:space="preserve"/>
      </w:r>
      <w:r w:rsidR="00017180">
        <w:t/>
      </w:r>
      <w:r w:rsidR="00FB072D">
        <w:t/>
      </w:r>
      <w:r w:rsidR="00DB6E15">
        <w:t xml:space="preserve"/>
      </w:r>
      <w:r w:rsidR="00AA40C9">
        <w:t xml:space="preserve"/>
      </w:r>
      <w:r w:rsidR="001847D3">
        <w:t/>
      </w:r>
      <w:r w:rsidR="00316CE3">
        <w:t xml:space="preserve"/>
      </w:r>
      <w:r w:rsidR="001847D3">
        <w:t/>
      </w:r>
      <w:r w:rsidR="00B51627">
        <w:t/>
      </w:r>
      <w:r w:rsidR="00AA40C9">
        <w:t xml:space="preserve"/>
      </w:r>
      <w:r>
        <w:t/>
      </w:r>
      <w:r w:rsidR="003F3271">
        <w:t xml:space="preserve"/>
      </w:r>
      <w:r w:rsidR="003747E4">
        <w:t/>
      </w:r>
      <w:r>
        <w:t xml:space="preserve"/>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CANADA ELDOR INC. (« CEI ») n’a pas d’activités commerciales. CDEV a mis en œuvre une gouvernance appropriée pour garantir que CEI respecte ses obligations et responsabilités en vertu de l’accord d’achat et de vente conclu avec Cameco Inc. en 1988.</w:t>
      </w:r>
      <w:r w:rsidRPr="00CE78A8">
        <w:rPr>
          <w:rFonts w:cs="Aptos"/>
        </w:rPr>
        <w:t/>
      </w:r>
      <w:r w:rsidRPr="00CE78A8">
        <w:t/>
      </w:r>
      <w:r w:rsidRPr="00CE78A8">
        <w:rPr>
          <w:rFonts w:cs="Aptos"/>
        </w:rPr>
        <w:t/>
      </w:r>
      <w:r w:rsidRPr="00CE78A8">
        <w:t xml:space="preserve"/>
      </w:r>
      <w:r w:rsidR="00F63199">
        <w:t xml:space="preserve"/>
      </w:r>
      <w:r w:rsidRPr="00CE78A8">
        <w:t/>
      </w:r>
      <w:r w:rsidR="00D62067">
        <w:t/>
      </w:r>
      <w:r w:rsidR="00E85AD9">
        <w:t xml:space="preserve"/>
      </w:r>
      <w:r w:rsidR="00F73873">
        <w:t xml:space="preserve"/>
      </w:r>
      <w:r w:rsidRPr="00CE78A8">
        <w:t xml:space="preserve"/>
      </w:r>
      <w:proofErr w:type="gramStart"/>
      <w:r w:rsidRPr="00CE78A8">
        <w:t/>
      </w:r>
      <w:proofErr w:type="gramEnd"/>
      <w:r w:rsidRPr="00CE78A8">
        <w:t xml:space="preserve"/>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CANADA ENTERPRISE EMERGENCY FUNDING CORPORATION (« CEEFC ») gère le programme de Facilité de financement d’urgence pour les grands employeurs (FFUGE), conçu pour offrir un financement relais et soutenir la reprise des grands employeurs canadiens face aux impacts économiques de la pandémie de COVID-19. Créée en mai 2020, CEEFC est dirigée par un président-directeur général. Des employés de CDEV fournissent des services de gestion à CEEFC via un accord de services, accompagnés de conseils juridiques et financiers externes.</w:t>
      </w:r>
      <w:r w:rsidRPr="00CE78A8">
        <w:rPr>
          <w:rFonts w:cs="Aptos"/>
        </w:rPr>
        <w:t/>
      </w:r>
      <w:r w:rsidRPr="00CE78A8">
        <w:t/>
      </w:r>
      <w:r w:rsidRPr="00CE78A8">
        <w:rPr>
          <w:rFonts w:cs="Aptos"/>
        </w:rPr>
        <w:t/>
      </w:r>
      <w:r w:rsidRPr="00CE78A8">
        <w:t xml:space="preserve"/>
      </w:r>
      <w:r>
        <w:t/>
      </w:r>
      <w:r w:rsidRPr="00CE78A8">
        <w:t xml:space="preserve"/>
      </w:r>
      <w:r>
        <w:t xml:space="preserve"/>
      </w:r>
      <w:r w:rsidRPr="00CE78A8">
        <w:t xml:space="preserve"/>
      </w:r>
      <w:r>
        <w:t/>
      </w:r>
      <w:r w:rsidRPr="00CE78A8">
        <w:t xml:space="preserve"/>
      </w:r>
      <w:r>
        <w:t xml:space="preserve"/>
      </w:r>
      <w:r w:rsidRPr="00CE78A8">
        <w:t xml:space="preserve"/>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CANADA GROWTH FUND INCORPORATED (« CGF ») a pour mandat de réaliser des investissements catalysant d’importants investissements privés dans des entreprises et projets canadiens pour transformer et stimuler l’économie canadienne à grande échelle vers la neutralité carbone. CDEV et CGF ont conclu un Accord de gestion des investissements (« AGI ») avec l’Office d’investissement des régimes de pensions du secteur public (« Investissements PSP ») et une nouvelle filiale de PSP, Canada Growth Fund Investment Management Inc. (« CGFIM »), formalisant la structure selon laquelle CGFIM fournit des services de gestion des investissements à CGF et rend compte au conseil d’administration de CGF. CGF a été incorporée en décembre 2022.</w:t>
      </w:r>
      <w:r w:rsidR="009F0A74">
        <w:rPr>
          <w:rFonts w:asciiTheme="minorHAnsi" w:hAnsiTheme="minorHAnsi"/>
          <w:szCs w:val="24"/>
        </w:rPr>
        <w:t/>
      </w:r>
      <w:r w:rsidRPr="00F34740">
        <w:rPr>
          <w:rFonts w:asciiTheme="minorHAnsi" w:hAnsiTheme="minorHAnsi"/>
          <w:szCs w:val="24"/>
        </w:rPr>
        <w:t xml:space="preserve"/>
      </w:r>
      <w:r w:rsidRPr="00F34740">
        <w:rPr>
          <w:rFonts w:asciiTheme="minorHAnsi" w:hAnsiTheme="minorHAnsi" w:cs="Aptos"/>
          <w:szCs w:val="24"/>
        </w:rPr>
        <w:t/>
      </w:r>
      <w:r w:rsidRPr="00F34740">
        <w:rPr>
          <w:rFonts w:asciiTheme="minorHAnsi" w:hAnsiTheme="minorHAnsi"/>
          <w:szCs w:val="24"/>
        </w:rPr>
        <w:t/>
      </w:r>
      <w:r w:rsidRPr="00F34740">
        <w:rPr>
          <w:rFonts w:asciiTheme="minorHAnsi" w:hAnsiTheme="minorHAnsi" w:cs="Aptos"/>
          <w:szCs w:val="24"/>
        </w:rPr>
        <w:t/>
      </w:r>
      <w:r w:rsidRPr="00F34740">
        <w:rPr>
          <w:rFonts w:asciiTheme="minorHAnsi" w:hAnsiTheme="minorHAnsi"/>
          <w:szCs w:val="24"/>
        </w:rPr>
        <w:t/>
      </w:r>
      <w:r w:rsidRPr="00F34740">
        <w:rPr>
          <w:rFonts w:asciiTheme="minorHAnsi" w:hAnsiTheme="minorHAnsi" w:cs="Aptos"/>
          <w:szCs w:val="24"/>
        </w:rPr>
        <w:t/>
      </w:r>
      <w:r w:rsidRPr="00F34740">
        <w:rPr>
          <w:rFonts w:asciiTheme="minorHAnsi" w:hAnsiTheme="minorHAnsi"/>
          <w:szCs w:val="24"/>
        </w:rPr>
        <w:t/>
      </w:r>
      <w:r w:rsidR="00C4053B" w:rsidRPr="00F34740">
        <w:rPr>
          <w:rFonts w:asciiTheme="minorHAnsi" w:hAnsiTheme="minorHAnsi"/>
          <w:szCs w:val="24"/>
        </w:rPr>
        <w:t xml:space="preserve"/>
      </w:r>
      <w:r w:rsidRPr="00F34740">
        <w:rPr>
          <w:rFonts w:asciiTheme="minorHAnsi" w:hAnsiTheme="minorHAnsi"/>
          <w:szCs w:val="24"/>
        </w:rPr>
        <w:t xml:space="preserve"/>
      </w:r>
      <w:r w:rsidR="00AC060F" w:rsidRPr="00F34740">
        <w:rPr>
          <w:rFonts w:asciiTheme="minorHAnsi" w:hAnsiTheme="minorHAnsi" w:cs="Arial"/>
          <w:szCs w:val="24"/>
        </w:rPr>
        <w:t/>
      </w:r>
      <w:r w:rsidR="007D6EED">
        <w:rPr>
          <w:rFonts w:asciiTheme="minorHAnsi" w:hAnsiTheme="minorHAnsi" w:cs="Arial"/>
          <w:szCs w:val="24"/>
        </w:rPr>
        <w:t xml:space="preserve"/>
      </w:r>
      <w:r w:rsidR="00AC060F" w:rsidRPr="00F34740">
        <w:rPr>
          <w:rFonts w:asciiTheme="minorHAnsi" w:hAnsiTheme="minorHAnsi" w:cs="Arial"/>
          <w:szCs w:val="24"/>
        </w:rPr>
        <w:t xml:space="preserve"/>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CANADA HIBERNIA HOLDING CORPORATION (« CHHC ») détient et gère les intérêts minoritaires du gouvernement fédéral de 8,5 % et 5,67 % dans le projet Hibernia Development (« HDP ») et dans l’unité Hibernia Southern Extension Unit (« Unit HSE ») respectivement (ensemble « Hibernia »), qui est un champ pétrolier au large de Terre-Neuve-et-Labrador. Hibernia est exploité par Hibernia Management and Development Company Ltd. Incorporée en 1993, CHHC dispose d’une équipe de gestion expérimentée basée à Calgary, dirigée par un président, spécialisée dans l’industrie pétrolière et dotée d’expertises en opérations techniques, marketing, transport et finance.</w:t>
      </w:r>
      <w:r w:rsidRPr="00CE78A8">
        <w:rPr>
          <w:rFonts w:cs="Aptos"/>
        </w:rPr>
        <w:t/>
      </w:r>
      <w:r w:rsidRPr="00CE78A8">
        <w:t/>
      </w:r>
      <w:r w:rsidRPr="00CE78A8">
        <w:rPr>
          <w:rFonts w:cs="Aptos"/>
        </w:rPr>
        <w:t/>
      </w:r>
      <w:r w:rsidRPr="00CE78A8">
        <w:t/>
      </w:r>
      <w:r w:rsidR="007049D7">
        <w:t/>
      </w:r>
      <w:r w:rsidRPr="00CE78A8">
        <w:t xml:space="preserve"/>
      </w:r>
      <w:r w:rsidR="007049D7">
        <w:t/>
      </w:r>
      <w:r w:rsidRPr="00CE78A8">
        <w:t xml:space="preserve"/>
      </w:r>
      <w:r w:rsidRPr="00CE78A8">
        <w:rPr>
          <w:rFonts w:cs="Aptos"/>
        </w:rPr>
        <w:t/>
      </w:r>
      <w:r w:rsidRPr="00CE78A8">
        <w:t/>
      </w:r>
      <w:r>
        <w:t xml:space="preserve"/>
      </w:r>
      <w:r w:rsidRPr="00CE78A8">
        <w:t xml:space="preserve"/>
      </w:r>
      <w:r w:rsidR="00FA3797">
        <w:t xml:space="preserve"/>
      </w:r>
      <w:r w:rsidRPr="00CE78A8">
        <w:t/>
      </w:r>
      <w:r w:rsidRPr="00CE78A8">
        <w:rPr>
          <w:rFonts w:cs="Aptos"/>
        </w:rPr>
        <w:t/>
      </w:r>
      <w:r w:rsidR="00B84D9C">
        <w:rPr>
          <w:rFonts w:cs="Aptos"/>
        </w:rPr>
        <w:t/>
      </w:r>
      <w:r w:rsidRPr="00CE78A8">
        <w:rPr>
          <w:rFonts w:cs="Aptos"/>
        </w:rPr>
        <w:t/>
      </w:r>
      <w:r w:rsidRPr="00CE78A8">
        <w:t xml:space="preserve"/>
      </w:r>
      <w:r w:rsidR="00FD6183">
        <w:t xml:space="preserve"/>
      </w:r>
      <w:r w:rsidR="00805CD4">
        <w:t/>
      </w:r>
      <w:r w:rsidR="00362215">
        <w:t xml:space="preserve"/>
      </w:r>
      <w:r w:rsidR="00FA3797">
        <w:t/>
      </w:r>
      <w:r w:rsidR="00247A4B">
        <w:t xml:space="preserve"/>
      </w:r>
      <w:r w:rsidR="00D22E03">
        <w:t/>
      </w:r>
      <w:r w:rsidR="00D22E03" w:rsidRPr="00CE78A8">
        <w:t/>
      </w:r>
      <w:r w:rsidR="00D22E03">
        <w:t/>
      </w:r>
      <w:r w:rsidR="00FA3797">
        <w:t xml:space="preserve"/>
      </w:r>
      <w:r w:rsidRPr="00CE78A8">
        <w:t xml:space="preserve"/>
      </w:r>
      <w:r w:rsidR="007049D7">
        <w:t xml:space="preserve"/>
      </w:r>
      <w:r w:rsidRPr="00CE78A8">
        <w:t xml:space="preserve"/>
      </w:r>
      <w:r>
        <w:t/>
      </w:r>
      <w:r w:rsidRPr="00CE78A8">
        <w:t xml:space="preserve"/>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CANADA INDIGENOUS LOAN GUARANTEE CORPORATION (« CILGC ») facilitera les investissements en actions par des groupes autochtones dans les secteurs des ressources naturelles et de l’énergie. Plus spécifiquement, CILGC a pour mandat de mettre en œuvre le Programme de garanties de prêts aux Autochtones (PGPA), tel qu’annoncé dans le Budget 2024. Prochainement incorporée, CILGC entreprendra des diligences financières et commerciales approfondies des demandes admissibles au PGPA et assurera la gestion du portefeuille de garanties de prêts à long terme. CDEV travaille au recrutement de l’équipe de direction de CILGC, laquelle devrait être pleinement opérationnelle avant la fin de 2024.</w:t>
      </w:r>
      <w:r w:rsidR="00132084">
        <w:t xml:space="preserve"/>
      </w:r>
      <w:r w:rsidR="00132084">
        <w:rPr>
          <w:lang w:val="en-CA"/>
        </w:rPr>
        <w:t/>
      </w:r>
      <w:r w:rsidR="00403FF4">
        <w:rPr>
          <w:lang w:val="en-CA"/>
        </w:rPr>
        <w:t/>
      </w:r>
      <w:r w:rsidR="00403FF4" w:rsidRPr="008A4CFC">
        <w:rPr>
          <w:lang w:val="en-CA"/>
        </w:rPr>
        <w:t/>
      </w:r>
      <w:r w:rsidR="00AD07B7">
        <w:rPr>
          <w:lang w:val="en-CA"/>
        </w:rPr>
        <w:t xml:space="preserve"/>
      </w:r>
      <w:r w:rsidR="00B33805">
        <w:rPr>
          <w:lang w:val="en-CA"/>
        </w:rPr>
        <w:t/>
      </w:r>
      <w:r w:rsidR="00AD07B7">
        <w:rPr>
          <w:lang w:val="en-CA"/>
        </w:rPr>
        <w:t xml:space="preserve"/>
      </w:r>
      <w:r w:rsidR="008A4CFC" w:rsidRPr="008A4CFC">
        <w:rPr>
          <w:rFonts w:eastAsia="Arial" w:cs="Arial"/>
        </w:rPr>
        <w:t/>
      </w:r>
      <w:r w:rsidR="00026927">
        <w:rPr>
          <w:rFonts w:eastAsia="Arial" w:cs="Arial"/>
        </w:rPr>
        <w:t xml:space="preserve"/>
      </w:r>
      <w:r w:rsidR="00026927" w:rsidRPr="00BD649D">
        <w:rPr>
          <w:rFonts w:eastAsia="Arial" w:cs="Arial"/>
        </w:rPr>
        <w:t xml:space="preserve"/>
      </w:r>
      <w:r w:rsidR="00BD649D">
        <w:rPr>
          <w:rFonts w:eastAsia="Arial" w:cs="Arial"/>
        </w:rPr>
        <w:t xml:space="preserve"/>
      </w:r>
      <w:r w:rsidR="0076215B">
        <w:rPr>
          <w:rFonts w:eastAsia="Arial" w:cs="Arial"/>
        </w:rPr>
        <w:t/>
      </w:r>
      <w:r w:rsidR="0069553E">
        <w:rPr>
          <w:rFonts w:eastAsia="Arial" w:cs="Arial"/>
        </w:rPr>
        <w:t/>
      </w:r>
      <w:r w:rsidR="0076215B">
        <w:rPr>
          <w:rFonts w:eastAsia="Arial" w:cs="Arial"/>
        </w:rPr>
        <w:t xml:space="preserve"/>
      </w:r>
      <w:r w:rsidR="00DC019D">
        <w:rPr>
          <w:rFonts w:eastAsia="Arial" w:cs="Arial"/>
        </w:rPr>
        <w:t/>
      </w:r>
      <w:r w:rsidR="0076215B">
        <w:rPr>
          <w:rFonts w:eastAsia="Arial" w:cs="Arial"/>
        </w:rPr>
        <w:t/>
      </w:r>
      <w:r w:rsidR="00635304">
        <w:rPr>
          <w:rFonts w:eastAsia="Arial" w:cs="Arial"/>
        </w:rPr>
        <w:t xml:space="preserve"/>
      </w:r>
      <w:r w:rsidR="00561044">
        <w:rPr>
          <w:rFonts w:eastAsia="Arial" w:cs="Arial"/>
        </w:rPr>
        <w:t xml:space="preserve"/>
      </w:r>
      <w:r w:rsidR="00DC019D">
        <w:rPr>
          <w:rFonts w:eastAsia="Arial" w:cs="Arial"/>
        </w:rPr>
        <w:t/>
      </w:r>
      <w:r w:rsidR="00561044">
        <w:rPr>
          <w:rFonts w:eastAsia="Arial" w:cs="Arial"/>
        </w:rPr>
        <w:t xml:space="preserve"/>
      </w:r>
      <w:r w:rsidR="00BD649D" w:rsidRPr="00BD649D">
        <w:rPr>
          <w:rFonts w:eastAsia="Arial" w:cs="Arial"/>
        </w:rPr>
        <w:t/>
      </w:r>
      <w:r w:rsidR="00561044">
        <w:rPr>
          <w:rFonts w:eastAsia="Arial" w:cs="Arial"/>
        </w:rPr>
        <w:t/>
      </w:r>
      <w:r w:rsidR="00BD649D" w:rsidRPr="00BD649D">
        <w:rPr>
          <w:rFonts w:eastAsia="Arial" w:cs="Arial"/>
        </w:rPr>
        <w:t xml:space="preserve"/>
      </w:r>
      <w:r w:rsidR="00C04428">
        <w:rPr>
          <w:rFonts w:eastAsia="Arial" w:cs="Arial"/>
        </w:rPr>
        <w:t xml:space="preserve"/>
      </w:r>
      <w:r w:rsidR="00BD649D" w:rsidRPr="00BD649D">
        <w:rPr>
          <w:rFonts w:eastAsia="Arial" w:cs="Arial"/>
        </w:rPr>
        <w:t/>
      </w:r>
      <w:r w:rsidR="00757096">
        <w:rPr>
          <w:rFonts w:eastAsia="Arial" w:cs="Arial"/>
        </w:rPr>
        <w:t xml:space="preserve"/>
      </w:r>
      <w:r w:rsidR="001444E5">
        <w:rPr>
          <w:rFonts w:eastAsia="Arial" w:cs="Arial"/>
        </w:rPr>
        <w:t xml:space="preserve"/>
      </w:r>
      <w:r w:rsidR="007F58ED">
        <w:rPr>
          <w:rFonts w:eastAsia="Arial" w:cs="Arial"/>
        </w:rPr>
        <w:t/>
      </w:r>
      <w:r w:rsidR="005A3144">
        <w:rPr>
          <w:rFonts w:eastAsia="Arial" w:cs="Arial"/>
        </w:rPr>
        <w:t xml:space="preserve"/>
      </w:r>
      <w:r w:rsidR="00FB3923">
        <w:rPr>
          <w:rFonts w:eastAsia="Arial" w:cs="Arial"/>
        </w:rPr>
        <w:t xml:space="preserve"/>
      </w:r>
      <w:r w:rsidR="00D259C0">
        <w:rPr>
          <w:rFonts w:eastAsia="Arial" w:cs="Arial"/>
        </w:rPr>
        <w:t xml:space="preserve"/>
      </w:r>
      <w:r w:rsidR="00FB3923">
        <w:rPr>
          <w:rFonts w:eastAsia="Arial" w:cs="Arial"/>
        </w:rPr>
        <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CANADA INNOVATION CORPORATION (« CIC ») est mandatée pour maximiser les investissements des entreprises en recherche et développement dans tous les secteurs et régions du Canada afin de promouvoir une croissance économique axée sur l’innovation. Incorporée en février 2023, une équipe intérimaire du CIC a été mise en place pour renforcer les capacités et processus internes de la Corporation. L’équipe du CIC a été dissoute à la suite de l’annonce faite par le gouvernement du Canada en décembre 2023, stipulant que la mise en œuvre complète de cette nouvelle entité est prévue au plus tard pour 2026-2027.</w:t>
      </w:r>
      <w:r w:rsidR="00651C7B">
        <w:t/>
      </w:r>
      <w:r>
        <w:t xml:space="preserve"/>
      </w:r>
      <w:r w:rsidR="00752EBA">
        <w:t xml:space="preserve"/>
      </w:r>
      <w:r w:rsidR="00A249A2">
        <w:t/>
      </w:r>
      <w:r>
        <w:t/>
      </w:r>
      <w:r w:rsidRPr="14FDE292">
        <w:rPr>
          <w:rFonts w:cs="Aptos"/>
        </w:rPr>
        <w:t/>
      </w:r>
      <w:r>
        <w:t/>
      </w:r>
      <w:r w:rsidR="00651C7B">
        <w:t xml:space="preserve"/>
      </w:r>
      <w:r w:rsidR="00C34950">
        <w:t/>
      </w:r>
      <w:r>
        <w:t xml:space="preserve"/>
      </w:r>
      <w:r w:rsidR="0063549D">
        <w:t xml:space="preserve"/>
      </w:r>
      <w:r w:rsidR="008F3EBC">
        <w:t xml:space="preserve"/>
      </w:r>
      <w:r>
        <w:t/>
      </w:r>
      <w:r w:rsidR="008F3EBC">
        <w:t/>
      </w:r>
      <w:r>
        <w:t xml:space="preserve"/>
      </w:r>
      <w:r w:rsidR="008F3EBC">
        <w:t/>
      </w:r>
      <w:r>
        <w:t xml:space="preserve"/>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LTD. (« TMP Finance ») a pour responsabilité principale de fournir un financement à sa filiale, TransMountain Corporation (« TMC »). TMC a pour mandat d’exploiter le pipeline TransMountain. TMC compte environ 700 employés sous la direction d’une équipe exécutive chevronnée. CDEV remplit son rôle supervisoire en tant que propriétaire de TMC au moyen d’un protocole d’accord qui définit les responsabilités et obligations, y compris celle de nommer le conseil d’administration de TMC. La direction de CDEV est étroitement impliquée dans la garantie de la santé financière à long terme de TMC, avec pour objectif ultime une monétisation réussie en temps opportun. TMP Finance a été incorporée en 2018.</w:t>
      </w:r>
      <w:r w:rsidR="00C41605">
        <w:rPr>
          <w:rFonts w:asciiTheme="minorHAnsi" w:hAnsiTheme="minorHAnsi"/>
        </w:rPr>
        <w:t/>
      </w:r>
      <w:r w:rsidRPr="00425BE0">
        <w:rPr>
          <w:rFonts w:asciiTheme="minorHAnsi" w:hAnsiTheme="minorHAnsi"/>
        </w:rPr>
        <w:t xml:space="preserve"/>
      </w:r>
      <w:r w:rsidRPr="00425BE0">
        <w:rPr>
          <w:rFonts w:asciiTheme="minorHAnsi" w:hAnsiTheme="minorHAnsi" w:cs="Aptos"/>
        </w:rPr>
        <w:t/>
      </w:r>
      <w:r w:rsidRPr="00425BE0">
        <w:rPr>
          <w:rFonts w:asciiTheme="minorHAnsi" w:hAnsiTheme="minorHAnsi"/>
        </w:rPr>
        <w:t/>
      </w:r>
      <w:r w:rsidRPr="00425BE0">
        <w:rPr>
          <w:rFonts w:asciiTheme="minorHAnsi" w:hAnsiTheme="minorHAnsi" w:cs="Aptos"/>
        </w:rPr>
        <w:t/>
      </w:r>
      <w:r w:rsidRPr="00425BE0">
        <w:rPr>
          <w:rFonts w:asciiTheme="minorHAnsi" w:hAnsiTheme="minorHAnsi"/>
        </w:rPr>
        <w:t/>
      </w:r>
      <w:r w:rsidR="00C41605">
        <w:rPr>
          <w:rFonts w:asciiTheme="minorHAnsi" w:hAnsiTheme="minorHAnsi"/>
        </w:rPr>
        <w:t xml:space="preserve"/>
      </w:r>
      <w:r w:rsidRPr="00425BE0">
        <w:rPr>
          <w:rFonts w:asciiTheme="minorHAnsi" w:hAnsiTheme="minorHAnsi"/>
        </w:rPr>
        <w:t/>
      </w:r>
      <w:r w:rsidRPr="00425BE0">
        <w:rPr>
          <w:rFonts w:asciiTheme="minorHAnsi" w:hAnsiTheme="minorHAnsi" w:cs="Aptos"/>
        </w:rPr>
        <w:t/>
      </w:r>
      <w:r w:rsidRPr="00425BE0">
        <w:rPr>
          <w:rFonts w:asciiTheme="minorHAnsi" w:hAnsiTheme="minorHAnsi"/>
        </w:rPr>
        <w:t/>
      </w:r>
      <w:r w:rsidRPr="00425BE0">
        <w:rPr>
          <w:rFonts w:asciiTheme="minorHAnsi" w:hAnsiTheme="minorHAnsi" w:cs="Aptos"/>
        </w:rPr>
        <w:t/>
      </w:r>
      <w:r w:rsidRPr="00425BE0">
        <w:rPr>
          <w:rFonts w:asciiTheme="minorHAnsi" w:hAnsiTheme="minorHAnsi"/>
        </w:rPr>
        <w:t/>
      </w:r>
      <w:r w:rsidR="008F1373" w:rsidRPr="00425BE0">
        <w:rPr>
          <w:rFonts w:asciiTheme="minorHAnsi" w:hAnsiTheme="minorHAnsi"/>
        </w:rPr>
        <w:t xml:space="preserve"/>
      </w:r>
      <w:r w:rsidR="008F1373" w:rsidRPr="008F1373">
        <w:rPr>
          <w:rFonts w:asciiTheme="minorHAnsi" w:hAnsiTheme="minorHAnsi" w:cs="Arial"/>
          <w:szCs w:val="24"/>
        </w:rPr>
        <w:t xml:space="preserve"/>
      </w:r>
      <w:r w:rsidR="008F1373" w:rsidRPr="008F1373">
        <w:rPr>
          <w:rFonts w:asciiTheme="minorHAnsi" w:hAnsiTheme="minorHAnsi" w:cs="Arial"/>
          <w:szCs w:val="24"/>
        </w:rPr>
        <w:lastRenderedPageBreak/>
        <w:t/>
      </w:r>
      <w:r w:rsidR="00C83FD6">
        <w:rPr>
          <w:rFonts w:asciiTheme="minorHAnsi" w:hAnsiTheme="minorHAnsi" w:cs="Arial"/>
          <w:szCs w:val="24"/>
        </w:rPr>
        <w:t/>
      </w:r>
      <w:r w:rsidR="008F1373" w:rsidRPr="008F1373">
        <w:rPr>
          <w:rFonts w:asciiTheme="minorHAnsi" w:hAnsiTheme="minorHAnsi" w:cs="Arial"/>
          <w:szCs w:val="24"/>
        </w:rPr>
        <w:t xml:space="preserve"/>
      </w:r>
      <w:r w:rsidR="008316E6">
        <w:rPr>
          <w:rFonts w:asciiTheme="minorHAnsi" w:hAnsiTheme="minorHAnsi" w:cs="Arial"/>
          <w:szCs w:val="24"/>
        </w:rPr>
        <w:t/>
      </w:r>
      <w:r w:rsidR="008F1373" w:rsidRPr="008F1373">
        <w:rPr>
          <w:rFonts w:asciiTheme="minorHAnsi" w:hAnsiTheme="minorHAnsi" w:cs="Arial"/>
          <w:szCs w:val="24"/>
        </w:rPr>
        <w:t xml:space="preserve"/>
      </w:r>
      <w:r w:rsidR="008C4A23">
        <w:rPr>
          <w:rFonts w:asciiTheme="minorHAnsi" w:hAnsiTheme="minorHAnsi" w:cs="Arial"/>
          <w:szCs w:val="24"/>
        </w:rPr>
        <w:t xml:space="preserve"/>
      </w:r>
      <w:r w:rsidR="00287E7C" w:rsidRPr="008F1373">
        <w:rPr>
          <w:rFonts w:asciiTheme="minorHAnsi" w:hAnsiTheme="minorHAnsi" w:cs="Arial"/>
          <w:szCs w:val="24"/>
        </w:rPr>
        <w:t/>
      </w:r>
      <w:r w:rsidR="008F1373" w:rsidRPr="008F1373">
        <w:rPr>
          <w:rFonts w:asciiTheme="minorHAnsi" w:hAnsiTheme="minorHAnsi" w:cs="Arial"/>
          <w:szCs w:val="24"/>
        </w:rPr>
        <w:t xml:space="preserve"/>
      </w:r>
      <w:r w:rsidR="00D12E56">
        <w:rPr>
          <w:rFonts w:asciiTheme="minorHAnsi" w:hAnsiTheme="minorHAnsi" w:cs="Arial"/>
          <w:szCs w:val="24"/>
        </w:rPr>
        <w:t/>
      </w:r>
      <w:r w:rsidR="008F1373" w:rsidRPr="008F1373">
        <w:rPr>
          <w:rFonts w:asciiTheme="minorHAnsi" w:hAnsiTheme="minorHAnsi" w:cs="Arial"/>
          <w:szCs w:val="24"/>
        </w:rPr>
        <w:t/>
      </w:r>
      <w:r w:rsidR="00B2021D">
        <w:rPr>
          <w:rFonts w:asciiTheme="minorHAnsi" w:hAnsiTheme="minorHAnsi" w:cs="Arial"/>
          <w:szCs w:val="24"/>
        </w:rPr>
        <w:t xml:space="preserve"/>
      </w:r>
      <w:r w:rsidR="00880FE2">
        <w:rPr>
          <w:rFonts w:asciiTheme="minorHAnsi" w:hAnsiTheme="minorHAnsi" w:cs="Arial"/>
          <w:szCs w:val="24"/>
        </w:rPr>
        <w:t/>
      </w:r>
      <w:r w:rsidR="00B2021D">
        <w:rPr>
          <w:rFonts w:asciiTheme="minorHAnsi" w:hAnsiTheme="minorHAnsi" w:cs="Arial"/>
          <w:szCs w:val="24"/>
        </w:rPr>
        <w:t xml:space="preserve"/>
      </w:r>
      <w:r w:rsidR="008F1373" w:rsidRPr="008F1373">
        <w:rPr>
          <w:rFonts w:asciiTheme="minorHAnsi" w:hAnsiTheme="minorHAnsi" w:cs="Arial"/>
          <w:szCs w:val="24"/>
        </w:rPr>
        <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16342451 CANADA INC. a été établie en septembre 2024. Actuellement, cette filiale supervise et gère le prêt de 2,14 milliards de dollars du gouvernement du Canada pour le projet Telesat Lightspeed. Cette filiale pourrait être utilisée à l’avenir pour gérer d’autres prêts ou détenir des actifs au nom du gouvernement.</w:t>
      </w:r>
      <w:r w:rsidR="00C55822">
        <w:rPr>
          <w:rFonts w:asciiTheme="minorHAnsi" w:hAnsiTheme="minorHAnsi" w:cs="Arial"/>
          <w:szCs w:val="24"/>
        </w:rPr>
        <w:t xml:space="preserve"/>
      </w:r>
      <w:bookmarkEnd w:id="3"/>
      <w:r w:rsidR="005551E3">
        <w:rPr>
          <w:rFonts w:asciiTheme="minorHAnsi" w:hAnsiTheme="minorHAnsi" w:cs="Arial"/>
          <w:szCs w:val="24"/>
        </w:rPr>
        <w:t/>
      </w:r>
      <w:r w:rsidR="00C55822">
        <w:rPr>
          <w:rFonts w:asciiTheme="minorHAnsi" w:hAnsiTheme="minorHAnsi" w:cs="Arial"/>
          <w:szCs w:val="24"/>
        </w:rPr>
        <w:t xml:space="preserve"/>
      </w:r>
      <w:r w:rsidR="00292842">
        <w:rPr>
          <w:rFonts w:asciiTheme="minorHAnsi" w:hAnsiTheme="minorHAnsi" w:cs="Arial"/>
          <w:szCs w:val="24"/>
        </w:rPr>
        <w:t/>
      </w:r>
      <w:r w:rsidR="00CD755E">
        <w:rPr>
          <w:rFonts w:asciiTheme="minorHAnsi" w:hAnsiTheme="minorHAnsi" w:cs="Arial"/>
          <w:szCs w:val="24"/>
        </w:rPr>
        <w:t xml:space="preserve"/>
      </w:r>
      <w:r w:rsidR="00714BAB">
        <w:rPr>
          <w:rFonts w:asciiTheme="minorHAnsi" w:hAnsiTheme="minorHAnsi" w:cs="Arial"/>
          <w:szCs w:val="24"/>
        </w:rPr>
        <w:t/>
      </w:r>
      <w:r w:rsidR="00F341D9">
        <w:rPr>
          <w:rFonts w:asciiTheme="minorHAnsi" w:hAnsiTheme="minorHAnsi" w:cs="Arial"/>
          <w:szCs w:val="24"/>
        </w:rPr>
        <w:t/>
      </w:r>
      <w:r w:rsidR="00714BAB">
        <w:rPr>
          <w:rFonts w:asciiTheme="minorHAnsi" w:hAnsiTheme="minorHAnsi" w:cs="Arial"/>
          <w:szCs w:val="24"/>
        </w:rPr>
        <w:t/>
      </w:r>
      <w:r w:rsidR="00CD755E">
        <w:rPr>
          <w:rFonts w:asciiTheme="minorHAnsi" w:hAnsiTheme="minorHAnsi" w:cs="Arial"/>
          <w:szCs w:val="24"/>
        </w:rPr>
        <w:t xml:space="preserve"/>
      </w:r>
      <w:r w:rsidR="00F341D9">
        <w:rPr>
          <w:rFonts w:asciiTheme="minorHAnsi" w:hAnsiTheme="minorHAnsi" w:cs="Arial"/>
          <w:szCs w:val="24"/>
        </w:rPr>
        <w:t/>
      </w:r>
      <w:r w:rsidR="00CD755E">
        <w:rPr>
          <w:rFonts w:asciiTheme="minorHAnsi" w:hAnsiTheme="minorHAnsi" w:cs="Arial"/>
          <w:szCs w:val="24"/>
        </w:rPr>
        <w:t xml:space="preserve"/>
      </w:r>
      <w:r w:rsidR="00F341D9">
        <w:rPr>
          <w:rFonts w:asciiTheme="minorHAnsi" w:hAnsiTheme="minorHAnsi" w:cs="Arial"/>
          <w:szCs w:val="24"/>
        </w:rPr>
        <w:t/>
      </w:r>
      <w:r w:rsidR="00CD755E">
        <w:rPr>
          <w:rFonts w:asciiTheme="minorHAnsi" w:hAnsiTheme="minorHAnsi" w:cs="Arial"/>
          <w:szCs w:val="24"/>
        </w:rPr>
        <w:t xml:space="preserve"/>
      </w:r>
      <w:r w:rsidR="00F829D1">
        <w:rPr>
          <w:rFonts w:asciiTheme="minorHAnsi" w:hAnsiTheme="minorHAnsi" w:cs="Arial"/>
          <w:szCs w:val="24"/>
        </w:rPr>
        <w:t xml:space="preserve"/>
      </w:r>
      <w:r w:rsidR="00FE4366">
        <w:rPr>
          <w:rFonts w:asciiTheme="minorHAnsi" w:hAnsiTheme="minorHAnsi" w:cs="Arial"/>
          <w:szCs w:val="24"/>
        </w:rPr>
        <w:t xml:space="preserve"/>
      </w:r>
      <w:r w:rsidR="00951F93">
        <w:rPr>
          <w:rFonts w:asciiTheme="minorHAnsi" w:hAnsiTheme="minorHAnsi" w:cs="Arial"/>
          <w:szCs w:val="24"/>
        </w:rPr>
        <w:t/>
      </w:r>
      <w:r w:rsidR="00FE4366">
        <w:rPr>
          <w:rFonts w:asciiTheme="minorHAnsi" w:hAnsiTheme="minorHAnsi" w:cs="Arial"/>
          <w:szCs w:val="24"/>
        </w:rPr>
        <w:t xml:space="preserve"/>
      </w:r>
      <w:r w:rsidR="00F341D9">
        <w:rPr>
          <w:rFonts w:asciiTheme="minorHAnsi" w:hAnsiTheme="minorHAnsi" w:cs="Arial"/>
          <w:szCs w:val="24"/>
        </w:rPr>
        <w:t xml:space="preserve"/>
      </w:r>
      <w:r w:rsidR="00A073F5">
        <w:rPr>
          <w:rFonts w:asciiTheme="minorHAnsi" w:hAnsiTheme="minorHAnsi" w:cs="Arial"/>
          <w:szCs w:val="24"/>
        </w:rPr>
        <w:t/>
      </w:r>
      <w:r w:rsidR="00BE2ECA">
        <w:rPr>
          <w:rFonts w:asciiTheme="minorHAnsi" w:hAnsiTheme="minorHAnsi" w:cs="Arial"/>
          <w:szCs w:val="24"/>
        </w:rPr>
        <w:t xml:space="preserve"/>
      </w:r>
      <w:r w:rsidR="00E07AE0">
        <w:rPr>
          <w:rFonts w:asciiTheme="minorHAnsi" w:hAnsiTheme="minorHAnsi" w:cs="Arial"/>
          <w:szCs w:val="24"/>
        </w:rPr>
        <w:t/>
      </w:r>
      <w:r w:rsidR="00BE2ECA">
        <w:rPr>
          <w:rFonts w:asciiTheme="minorHAnsi" w:hAnsiTheme="minorHAnsi" w:cs="Arial"/>
          <w:szCs w:val="24"/>
        </w:rPr>
        <w:t/>
      </w:r>
      <w:r w:rsidR="00A073F5">
        <w:rPr>
          <w:rFonts w:asciiTheme="minorHAnsi" w:hAnsiTheme="minorHAnsi" w:cs="Arial"/>
          <w:szCs w:val="24"/>
        </w:rPr>
        <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Aperçu de la gouvernance publique : fonctionnement en tant qu'entité indépendante</w:t>
      </w:r>
      <w:r w:rsidR="0023771F">
        <w:t xml:space="preserve"/>
      </w:r>
      <w:r w:rsidR="003A20BE">
        <w:t xml:space="preserve"/>
      </w:r>
      <w:proofErr w:type="gramStart"/>
      <w:r w:rsidR="003A20BE">
        <w:t/>
      </w:r>
      <w:proofErr w:type="gramEnd"/>
      <w:r w:rsidR="003A20BE">
        <w:t xml:space="preserve"/>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d'administration et direction</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En tant que société d'État commerciale autonome et autosuffisante, une surveillance est assurée par un conseil d'administration indépendant composé de six membres, plus le président et le président-directeur général. Le conseil est responsable de la gestion de CDEV et supervise ses activités, notamment en veillant à ce que ses actifs, passifs et filiales soient gérés de manière rentable. Cela inclut l'approbation des états financiers et des rapports corporatifs de CDEV, tous disponibles sur le site Web de CDEV.</w:t>
      </w:r>
      <w:r w:rsidR="007B0E3A">
        <w:t xml:space="preserve"/>
      </w:r>
      <w:r w:rsidR="00672538">
        <w:t/>
      </w:r>
      <w:r w:rsidR="007B0E3A">
        <w:t/>
      </w:r>
      <w:r w:rsidR="005826D3">
        <w:t/>
      </w:r>
      <w:r w:rsidR="007B0E3A">
        <w:t xml:space="preserve"/>
      </w:r>
      <w:r w:rsidR="00672538">
        <w:t xml:space="preserve"/>
      </w:r>
      <w:r w:rsidR="00672538" w:rsidRPr="00672538">
        <w:t xml:space="preserve"/>
      </w:r>
      <w:r w:rsidR="0013480E">
        <w:t xml:space="preserve"/>
      </w:r>
      <w:r w:rsidR="00672538" w:rsidRPr="00672538">
        <w:t/>
      </w:r>
      <w:r w:rsidR="00672538">
        <w:t/>
      </w:r>
      <w:r w:rsidR="00672538" w:rsidRPr="00672538">
        <w:t/>
      </w:r>
      <w:r w:rsidR="00F212FD">
        <w:t xml:space="preserve"/>
      </w:r>
      <w:r w:rsidR="00EA1EE3">
        <w:t xml:space="preserve"/>
      </w:r>
      <w:r w:rsidR="00DA662B">
        <w:t/>
      </w:r>
      <w:r w:rsidR="00E86B9D">
        <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de CDEV dispose de trois comités : le comité de vérification, chargé de superviser les finances de CDEV, le comité de nomination et de gouvernance, responsable des questions de gouvernance corporative, et le comité des ressources humaines et de la rémunération, chargé des pratiques de rémunération et d'autres politiques pertinentes.</w:t>
      </w:r>
      <w:r w:rsidR="00556A3B">
        <w:t xml:space="preserve"/>
      </w:r>
      <w:r w:rsidR="00836220">
        <w:t/>
      </w:r>
      <w:r w:rsidR="00560E97">
        <w:t/>
      </w:r>
      <w:r w:rsidR="0098701B">
        <w:t/>
      </w:r>
      <w:r w:rsidR="00F44B7B">
        <w:t xml:space="preserve"/>
      </w:r>
      <w:r w:rsidR="0098701B">
        <w:t xml:space="preserve"/>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est dirigée par un président-directeur général nommé par décret et collabore étroitement avec l’équipe de direction de ses filiales pour assurer le bon fonctionnement de CDEV et de son groupe d'entreprises. CDEV compte vingt employés à temps plein en septembre 2024 et son siège social est situé à Toronto, avec un bureau satellite à Ottawa.</w:t>
      </w:r>
      <w:r w:rsidR="00307ECD">
        <w:t/>
      </w:r>
      <w:r w:rsidR="003A428B">
        <w:t xml:space="preserve"/>
      </w:r>
      <w:r w:rsidR="00B968E5">
        <w:t xml:space="preserve"/>
      </w:r>
      <w:r w:rsidR="009A3AF4">
        <w:t/>
      </w:r>
      <w:r w:rsidR="00B968E5">
        <w:t xml:space="preserve"/>
      </w:r>
      <w:r w:rsidR="000A4A01">
        <w:t/>
      </w:r>
      <w:r w:rsidR="00B145C1">
        <w:t xml:space="preserve"/>
      </w:r>
      <w:r w:rsidR="002563E1">
        <w:t xml:space="preserve"/>
      </w:r>
      <w:r w:rsidR="00C91495">
        <w:t/>
      </w:r>
      <w:r w:rsidR="004A35D1">
        <w:t xml:space="preserve"/>
      </w:r>
      <w:r w:rsidR="00D541F0">
        <w:t xml:space="preserve"/>
      </w:r>
      <w:r w:rsidR="006C180B">
        <w:t/>
      </w:r>
      <w:r w:rsidR="003449A9">
        <w:t/>
      </w:r>
      <w:r w:rsidR="0098701B">
        <w:t xml:space="preserve"/>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En tant qu'expert des pratiques de gouvernance de pointe, CDEV offre une supervision à valeur ajoutée de ses sociétés filiales et facilite la responsabilisation gouvernementale tout en maintenant une relation indépendante. CDEV désigne les membres des conseils d'administration de ses filiales afin d'assurer une supervision adéquate, ces conseils rendant ensuite compte au conseil de CDEV sur une base trimestrielle. CDEV joue ce rôle à un coût très faible comparé à d'autres modèles au sein du gouvernement fédéral, compte tenu de la structure de rémunération applicable au conseil de CDEV ainsi qu'à son groupe d'entreprises.</w:t>
      </w:r>
      <w:r w:rsidR="00892B14">
        <w:t/>
      </w:r>
      <w:r>
        <w:t/>
      </w:r>
      <w:r w:rsidR="00892B14">
        <w:t xml:space="preserve"/>
      </w:r>
      <w:r>
        <w:t/>
      </w:r>
      <w:r w:rsidR="00892B14">
        <w:t xml:space="preserve"/>
      </w:r>
      <w:r>
        <w:t/>
      </w:r>
      <w:r w:rsidR="00892B14">
        <w:t xml:space="preserve"/>
      </w:r>
      <w:r>
        <w:t xml:space="preserve"/>
      </w:r>
      <w:r w:rsidR="42B76B9C">
        <w:t xml:space="preserve"/>
      </w:r>
      <w:r w:rsidR="00A9696D">
        <w:t/>
      </w:r>
      <w:r w:rsidR="42B76B9C">
        <w:t xml:space="preserve"/>
      </w:r>
      <w:r w:rsidR="1C94FDC8">
        <w:t xml:space="preserve"/>
      </w:r>
      <w:r w:rsidR="004E6CDD">
        <w:t/>
      </w:r>
      <w:r w:rsidR="1C94FDC8">
        <w:t xml:space="preserve"/>
      </w:r>
      <w:r w:rsidR="00B21657">
        <w:t/>
      </w:r>
      <w:r w:rsidR="1C94FDC8">
        <w:t xml:space="preserve"/>
      </w:r>
      <w:r w:rsidR="003B682B">
        <w:t xml:space="preserve"/>
      </w:r>
      <w:r>
        <w:t/>
      </w:r>
      <w:r w:rsidR="35252704">
        <w:t xml:space="preserve"/>
      </w:r>
      <w:r w:rsidR="007A1BB6">
        <w:t xml:space="preserve"/>
      </w:r>
      <w:r w:rsidR="63254D14">
        <w:t/>
      </w:r>
      <w:r w:rsidR="00180D04">
        <w:t xml:space="preserve"/>
      </w:r>
      <w:r w:rsidR="009369A6">
        <w:t/>
      </w:r>
      <w:r w:rsidR="00180D04">
        <w:t xml:space="preserve"/>
      </w:r>
      <w:r w:rsidR="009369A6">
        <w:t/>
      </w:r>
      <w:r w:rsidR="007A1BB6">
        <w:t/>
      </w:r>
      <w:r w:rsidR="63254D14">
        <w:t xml:space="preserve"/>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Voir l'annexe A-1 pour l'organigramme de CDEV et la liste actuelle de ses administrateurs et dirigeants, ainsi que les comités du conseil de CDEV et de chaque filiale. Le conseil de CDEV reçoit des rapports réguliers des conseils et directions de ses principales filiales.</w:t>
      </w:r>
      <w:r w:rsidR="00713787">
        <w:rPr>
          <w:rFonts w:asciiTheme="minorHAnsi" w:eastAsia="Arial" w:hAnsiTheme="minorHAnsi" w:cs="Arial"/>
        </w:rPr>
        <w:t xml:space="preserve"/>
      </w:r>
      <w:r w:rsidRPr="0054589B">
        <w:rPr>
          <w:rFonts w:asciiTheme="minorHAnsi" w:eastAsia="Arial" w:hAnsiTheme="minorHAnsi" w:cs="Arial"/>
        </w:rPr>
        <w:t xml:space="preserve"/>
      </w:r>
      <w:r>
        <w:rPr>
          <w:rFonts w:asciiTheme="minorHAnsi" w:eastAsia="Arial" w:hAnsiTheme="minorHAnsi" w:cs="Arial"/>
        </w:rPr>
        <w:t/>
      </w:r>
      <w:r w:rsidRPr="0054589B">
        <w:rPr>
          <w:rFonts w:asciiTheme="minorHAnsi" w:eastAsia="Arial" w:hAnsiTheme="minorHAnsi" w:cs="Arial"/>
        </w:rPr>
        <w:t xml:space="preserve"/>
      </w:r>
      <w:r>
        <w:rPr>
          <w:rFonts w:asciiTheme="minorHAnsi" w:eastAsia="Arial" w:hAnsiTheme="minorHAnsi" w:cs="Arial"/>
        </w:rPr>
        <w:t/>
      </w:r>
      <w:r w:rsidRPr="0054589B">
        <w:rPr>
          <w:rFonts w:asciiTheme="minorHAnsi" w:eastAsia="Arial" w:hAnsiTheme="minorHAnsi" w:cs="Arial"/>
        </w:rPr>
        <w:t xml:space="preserve"/>
      </w:r>
      <w:r w:rsidR="00456113">
        <w:rPr>
          <w:rFonts w:asciiTheme="minorHAnsi" w:eastAsia="Arial" w:hAnsiTheme="minorHAnsi" w:cs="Arial"/>
        </w:rPr>
        <w:t/>
      </w:r>
      <w:r w:rsidRPr="0054589B">
        <w:rPr>
          <w:rFonts w:asciiTheme="minorHAnsi" w:eastAsia="Arial" w:hAnsiTheme="minorHAnsi" w:cs="Arial"/>
        </w:rPr>
        <w:t xml:space="preserve"/>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autres audits</w:t>
      </w:r>
      <w:r w:rsidR="007333C4">
        <w:t/>
      </w:r>
      <w:r w:rsidR="00A778FE">
        <w:t xml:space="preserve"/>
      </w:r>
      <w:r>
        <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En ce qui concerne les examens spéciaux et audits de CDEV, aucun examen supplémentaire n'est en cours actuellement. Le dernier examen spécial a eu lieu en 2018. CDEV a participé à l'audit de performance portant sur l'acquisition de contrats de services professionnels dirigé par le Bureau du vérificateur général, publié en juin 2024.</w:t>
      </w:r>
      <w:r w:rsidR="00961C02" w:rsidRPr="00F402F0">
        <w:rPr>
          <w:rFonts w:asciiTheme="minorHAnsi" w:hAnsiTheme="minorHAnsi" w:cs="Arial"/>
          <w:szCs w:val="24"/>
        </w:rPr>
        <w:t xml:space="preserve"/>
      </w:r>
      <w:r w:rsidRPr="00F402F0">
        <w:rPr>
          <w:rFonts w:asciiTheme="minorHAnsi" w:hAnsiTheme="minorHAnsi" w:cs="Arial"/>
          <w:szCs w:val="24"/>
        </w:rPr>
        <w:t/>
      </w:r>
      <w:r w:rsidR="00AF028B" w:rsidRPr="00F402F0">
        <w:rPr>
          <w:rFonts w:asciiTheme="minorHAnsi" w:hAnsiTheme="minorHAnsi" w:cs="Arial"/>
          <w:szCs w:val="24"/>
        </w:rPr>
        <w:t xml:space="preserve"/>
      </w:r>
      <w:r w:rsidR="00AE76E2" w:rsidRPr="00F402F0">
        <w:rPr>
          <w:rFonts w:asciiTheme="minorHAnsi" w:hAnsiTheme="minorHAnsi" w:cs="Arial"/>
          <w:szCs w:val="24"/>
        </w:rPr>
        <w:t/>
      </w:r>
      <w:r w:rsidR="00AF028B" w:rsidRPr="00F402F0">
        <w:rPr>
          <w:rFonts w:asciiTheme="minorHAnsi" w:hAnsiTheme="minorHAnsi" w:cs="Arial"/>
          <w:szCs w:val="24"/>
        </w:rPr>
        <w:t xml:space="preserve"/>
      </w:r>
      <w:r w:rsidR="00C75BC8" w:rsidRPr="00F402F0">
        <w:rPr>
          <w:rFonts w:asciiTheme="minorHAnsi" w:hAnsiTheme="minorHAnsi" w:cs="Arial"/>
          <w:szCs w:val="24"/>
        </w:rPr>
        <w:t xml:space="preserve"/>
      </w:r>
      <w:r w:rsidR="00AE76E2" w:rsidRPr="00F402F0">
        <w:rPr>
          <w:rFonts w:asciiTheme="minorHAnsi" w:hAnsiTheme="minorHAnsi" w:cs="Arial"/>
          <w:szCs w:val="24"/>
        </w:rPr>
        <w:t/>
      </w:r>
      <w:r w:rsidR="0075192A">
        <w:rPr>
          <w:rFonts w:asciiTheme="minorHAnsi" w:hAnsiTheme="minorHAnsi" w:cs="Arial"/>
          <w:szCs w:val="24"/>
        </w:rPr>
        <w:t/>
      </w:r>
      <w:r w:rsidR="004F73BA" w:rsidRPr="00F402F0">
        <w:rPr>
          <w:rFonts w:asciiTheme="minorHAnsi" w:hAnsiTheme="minorHAnsi" w:cs="Arial"/>
          <w:szCs w:val="24"/>
        </w:rPr>
        <w:t xml:space="preserve"/>
      </w:r>
      <w:r w:rsidR="007B56FF" w:rsidRPr="00F402F0">
        <w:rPr>
          <w:rFonts w:asciiTheme="minorHAnsi" w:hAnsiTheme="minorHAnsi" w:cs="Arial"/>
          <w:szCs w:val="24"/>
        </w:rPr>
        <w:t xml:space="preserve"/>
      </w:r>
      <w:r w:rsidR="00F402F0" w:rsidRPr="00F402F0">
        <w:rPr>
          <w:rFonts w:asciiTheme="minorHAnsi" w:hAnsiTheme="minorHAnsi" w:cs="Arial"/>
        </w:rPr>
        <w:t/>
      </w:r>
      <w:r w:rsidR="00F402F0">
        <w:rPr>
          <w:rFonts w:asciiTheme="minorHAnsi" w:hAnsiTheme="minorHAnsi" w:cs="Arial"/>
        </w:rPr>
        <w:t/>
      </w:r>
      <w:r w:rsidR="00F402F0" w:rsidRPr="00F402F0">
        <w:rPr>
          <w:rFonts w:asciiTheme="minorHAnsi" w:hAnsiTheme="minorHAnsi" w:cs="Arial"/>
        </w:rPr>
        <w:t xml:space="preserve"/>
      </w:r>
      <w:r w:rsidR="00F402F0">
        <w:rPr>
          <w:rFonts w:asciiTheme="minorHAnsi" w:hAnsiTheme="minorHAnsi" w:cs="Arial"/>
        </w:rPr>
        <w:t/>
      </w:r>
      <w:r w:rsidR="00F402F0" w:rsidRPr="00F402F0">
        <w:rPr>
          <w:rFonts w:asciiTheme="minorHAnsi" w:hAnsiTheme="minorHAnsi" w:cs="Arial"/>
        </w:rPr>
        <w:t/>
      </w:r>
      <w:r w:rsidR="00F402F0" w:rsidRPr="49901A6D">
        <w:rPr>
          <w:rFonts w:ascii="Arial" w:hAnsi="Arial" w:cs="Arial"/>
        </w:rPr>
        <w:t xml:space="preserve"/>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Profil de politique publique : un ensemble de compétences commerciales uniques</w:t>
      </w:r>
      <w:r w:rsidR="0023771F">
        <w:t xml:space="preserve"/>
      </w:r>
      <w:r w:rsidR="00014EE5">
        <w:t xml:space="preserve"/>
      </w:r>
      <w:r w:rsidR="007D412E">
        <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L'expertise et l'ensemble de compétences commerciales de CDEV sont uniques au sein du gouvernement fédéral et il existe une demande significative pour ses capacités. Les employés de CDEV disposent d’une vaste expérience dans le secteur privé, notamment en banque d’investissement, gestion d’investissement, services financiers, conseil, droit ainsi qu’en fusions et acquisitions, des domaines directement pertinents aux services que CDEV est amenée à offrir.</w:t>
      </w:r>
      <w:r w:rsidR="00305115">
        <w:t/>
      </w:r>
      <w:r w:rsidR="00305115" w:rsidRPr="007D412E">
        <w:t/>
      </w:r>
      <w:r w:rsidRPr="007D412E">
        <w:t xml:space="preserve"/>
      </w:r>
      <w:r w:rsidR="00EE1723">
        <w:t/>
      </w:r>
      <w:r w:rsidRPr="007D412E">
        <w:t xml:space="preserve"/>
      </w:r>
      <w:r w:rsidR="004A1F2E">
        <w:t xml:space="preserve"/>
      </w:r>
      <w:r w:rsidR="008E7250">
        <w:t/>
      </w:r>
      <w:r w:rsidR="00990952">
        <w:t xml:space="preserve"/>
      </w:r>
      <w:r w:rsidR="00824B0C">
        <w:t/>
      </w:r>
      <w:r w:rsidR="004A1F2E">
        <w:t xml:space="preserve"/>
      </w:r>
      <w:r w:rsidR="000551F2">
        <w:t/>
      </w:r>
      <w:r w:rsidR="009F3005">
        <w:t xml:space="preserve"/>
      </w:r>
      <w:r w:rsidR="00EA6B56">
        <w:t xml:space="preserve"/>
      </w:r>
      <w:r w:rsidR="009F3005">
        <w:t xml:space="preserve"/>
      </w:r>
      <w:r w:rsidR="002D0EED">
        <w:t xml:space="preserve"/>
      </w:r>
      <w:r w:rsidR="009C0C9E">
        <w:t/>
      </w:r>
      <w:r w:rsidR="002D0EED">
        <w:t xml:space="preserve"/>
      </w:r>
      <w:r w:rsidR="00095CD0">
        <w:t/>
      </w:r>
      <w:r w:rsidR="009F3005">
        <w:t xml:space="preserve"/>
      </w:r>
      <w:r w:rsidR="002D6A87">
        <w:t/>
      </w:r>
      <w:r w:rsidR="00AF4714">
        <w:t xml:space="preserve"/>
      </w:r>
      <w:r w:rsidR="00C83C13">
        <w:t/>
      </w:r>
      <w:r w:rsidR="003407CC">
        <w:t xml:space="preserve"/>
      </w:r>
      <w:r w:rsidR="00FF3CE6">
        <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compétences, réseaux et expériences uniques de CDEV sont essentiels et ont un impact significatif dans divers contextes où le gouvernement nécessite une expertise financière spécialisée pour des situations critiques.</w:t>
      </w:r>
      <w:r w:rsidR="00DF2A2A">
        <w:t/>
      </w:r>
      <w:r w:rsidR="006237EB">
        <w:t/>
      </w:r>
      <w:r w:rsidR="00DF2A2A">
        <w:t xml:space="preserve"/>
      </w:r>
      <w:r>
        <w:t xml:space="preserve"/>
      </w:r>
      <w:r w:rsidR="00D44642">
        <w:t/>
      </w:r>
      <w:r>
        <w:t xml:space="preserve"/>
      </w:r>
      <w:r w:rsidR="00B9355C">
        <w:t xml:space="preserve"/>
      </w:r>
      <w:r w:rsidR="005722B4">
        <w:t/>
      </w:r>
      <w:r w:rsidR="008A2572">
        <w:t xml:space="preserve"/>
      </w:r>
      <w:r w:rsidR="004E27D7">
        <w:t/>
      </w:r>
      <w:r w:rsidR="008A2572">
        <w:t xml:space="preserve"/>
      </w:r>
      <w:r w:rsidR="0067763B">
        <w:t/>
      </w:r>
      <w:r w:rsidR="007A36D1">
        <w:t xml:space="preserve"/>
      </w:r>
      <w:r>
        <w:t/>
      </w:r>
      <w:r w:rsidR="00E203C3">
        <w:t xml:space="preserve"/>
      </w:r>
      <w:r w:rsidR="00C73B85">
        <w:t xml:space="preserve"/>
      </w:r>
      <w:r w:rsidR="00667B9B">
        <w:t/>
      </w:r>
      <w:r w:rsidR="00C73B85">
        <w:t xml:space="preserve"/>
      </w:r>
      <w:r w:rsidR="0052202A">
        <w:t/>
      </w:r>
      <w:r w:rsidR="00872016">
        <w:t xml:space="preserve"/>
      </w:r>
      <w:r w:rsidR="00C73B85">
        <w:t/>
      </w:r>
      <w:r w:rsidR="00D70CC7">
        <w:t xml:space="preserve"/>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L'acquisition et la supervision du système de pipeline Trans Mountain et l’opérationnalisation du Fonds de croissance du Canada illustrent comment le gouvernement tire efficacement parti des capacités uniques de CDEV.</w:t>
      </w:r>
      <w:r w:rsidR="000D7C80">
        <w:t xml:space="preserve"/>
      </w:r>
      <w:r w:rsidR="00C00710">
        <w:t/>
      </w:r>
      <w:r w:rsidR="000D7C80">
        <w:t xml:space="preserve"/>
      </w:r>
      <w:r w:rsidR="00710BDA">
        <w:t/>
      </w:r>
      <w:r w:rsidR="000D7C80">
        <w:t xml:space="preserve"/>
      </w:r>
      <w:r w:rsidR="005C7005">
        <w:t/>
      </w:r>
      <w:r>
        <w:t xml:space="preserve"/>
      </w:r>
      <w:r w:rsidR="00710BDA">
        <w:t/>
      </w:r>
      <w:r>
        <w:t xml:space="preserve"/>
      </w:r>
      <w:r w:rsidR="005F732C">
        <w:t/>
      </w:r>
      <w:r>
        <w:t xml:space="preserve"/>
      </w:r>
      <w:r w:rsidR="006A2224">
        <w:t/>
      </w:r>
      <w:r w:rsidR="00F52BAC">
        <w:t/>
      </w:r>
      <w:r w:rsidR="006A2224">
        <w:t xml:space="preserve"/>
      </w:r>
      <w:r w:rsidR="00EE56EA">
        <w:t xml:space="preserve"/>
      </w:r>
      <w:r w:rsidR="006A2224">
        <w:t/>
      </w:r>
      <w:r w:rsidR="00710BDA">
        <w:t xml:space="preserve"/>
      </w:r>
      <w:r w:rsidR="006A2224">
        <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Orientation stratégique pour CDEV</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Activités principales et environnement opérationnel de CDEV</w:t>
      </w:r>
      <w:r w:rsidR="001B6C25">
        <w:t/>
      </w:r>
      <w:r>
        <w:t/>
      </w:r>
      <w:r w:rsidR="001B6C25">
        <w:t xml:space="preserve"/>
      </w:r>
      <w:r w:rsidR="007F636E">
        <w:t/>
      </w:r>
      <w:r w:rsidR="00404F4D">
        <w:t xml:space="preserve"/>
      </w:r>
      <w:r w:rsidR="00EA54C5">
        <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se concentre sur l'utilisation de ses compétences financières et commerciales pour soutenir la croissance économique et améliorer l'efficacité fiscale en appui aux priorités du Gouvernement du Canada.</w:t>
      </w:r>
      <w:r w:rsidR="000E074D">
        <w:t/>
      </w:r>
      <w:r>
        <w:t xml:space="preserve"/>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Performance corporative 2024 pour CDEV</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Notre performance réelle pour 2024, comparée aux objectifs énoncés dans notre Plan corporatif 2024-2028, est la suivante :</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2024</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2024</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Superviser, surveiller et fournir un soutien stratégique à TMC, notamment en préparant TMC en vue d'une cession au moment approprié et en aidant TMC à accéder aux ressources financières nécessaires pour achever TMEP et gérer des opérations efficaces.</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Poursuite des travaux préparatoires pour le refinancement du bilan, la structuration de l'IEP, l'analyse d'exécution et la monétisation.</w:t>
            </w:r>
            <w:r w:rsidR="001F68A5">
              <w:rPr>
                <w:rFonts w:asciiTheme="minorHAnsi" w:hAnsiTheme="minorHAnsi" w:cs="Arial"/>
              </w:rPr>
              <w:t xml:space="preserve"/>
            </w:r>
            <w:r w:rsidRPr="003F1883">
              <w:rPr>
                <w:rFonts w:asciiTheme="minorHAnsi" w:hAnsiTheme="minorHAnsi" w:cs="Arial"/>
              </w:rPr>
              <w:t/>
            </w:r>
            <w:r w:rsidR="001F68A5">
              <w:rPr>
                <w:rFonts w:asciiTheme="minorHAnsi" w:hAnsiTheme="minorHAnsi" w:cs="Arial"/>
              </w:rPr>
              <w:t/>
            </w:r>
            <w:r w:rsidR="00B05CA0">
              <w:rPr>
                <w:rFonts w:asciiTheme="minorHAnsi" w:hAnsiTheme="minorHAnsi" w:cs="Arial"/>
              </w:rPr>
              <w:t/>
            </w:r>
            <w:r w:rsidR="00F5566D">
              <w:rPr>
                <w:rFonts w:asciiTheme="minorHAnsi" w:hAnsiTheme="minorHAnsi" w:cs="Arial"/>
              </w:rPr>
              <w:t/>
            </w:r>
            <w:r w:rsidR="003B66C3">
              <w:rPr>
                <w:rFonts w:asciiTheme="minorHAnsi" w:hAnsiTheme="minorHAnsi" w:cs="Arial"/>
              </w:rPr>
              <w:t/>
            </w:r>
            <w:r w:rsidRPr="003F1883">
              <w:rPr>
                <w:rFonts w:asciiTheme="minorHAnsi" w:hAnsiTheme="minorHAnsi" w:cs="Arial"/>
              </w:rPr>
              <w:t xml:space="preserve"/>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Élaboration affinée du plan de succession pour le Conseil d'administration.</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Aide à la gestion du portefeuille de prêts de CEEFC.</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Fourniture de soutien fonctionnel et d'expertise continus aux opérations de CEEFC, conformément au protocole d'entente.</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Fourniture de soutien en matière de gouvernance de manière continue.</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Retour du capital via le rachat des actions privilégiées.</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Maintien de l’état de préparation pour la vente des actions de AC.</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Appui au comité de recherche du PDG dans le lancement de la recherche.</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Appui à l’intégration de la nouvelle PDG de CEEFC.</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Soutien au nouveau PDG en matière de conseils sur la restructuration du portefeuille de prêts.</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Gestion de la participation active dans Hibernia via CHHC, tout en maintenant l'actif prêt à une éventuelle cession et en maximisant la valeur autant que possible.</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Fourniture de soutien fonctionnel et d'expertise à CHHC.</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Fourniture de soutien en matière de gouvernance, des RH et des politiques.</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Gestion des responsabilités de NPI/INPI de CDEV.</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Voir les mises à jour concernant NPI à la section 3.2.7 « Autres mandats » pour plus de détails.</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Maintien de la supervision de CGF.</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Conclusion d'un protocole de communication avec CGFIM.</w:t>
            </w:r>
            <w:proofErr w:type="gramEnd"/>
            <w:r w:rsidRPr="003F1883">
              <w:rPr>
                <w:rFonts w:asciiTheme="minorHAnsi" w:hAnsiTheme="minorHAnsi" w:cs="Arial"/>
              </w:rPr>
              <w:t xml:space="preserve"/>
            </w:r>
            <w:r w:rsidR="00560082">
              <w:rPr>
                <w:rFonts w:asciiTheme="minorHAnsi" w:hAnsiTheme="minorHAnsi" w:cs="Arial"/>
              </w:rPr>
              <w:t/>
            </w:r>
            <w:r w:rsidRPr="003F1883">
              <w:rPr>
                <w:rFonts w:asciiTheme="minorHAnsi" w:hAnsiTheme="minorHAnsi" w:cs="Arial"/>
              </w:rPr>
              <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Exécution de l'IMA et des documents connexes.</w:t>
            </w:r>
            <w:r w:rsidR="00590144">
              <w:rPr>
                <w:rFonts w:asciiTheme="minorHAnsi" w:hAnsiTheme="minorHAnsi" w:cs="Arial"/>
              </w:rPr>
              <w:t/>
            </w:r>
            <w:r w:rsidRPr="003F1883">
              <w:rPr>
                <w:rFonts w:asciiTheme="minorHAnsi" w:hAnsiTheme="minorHAnsi" w:cs="Arial"/>
              </w:rPr>
              <w:t xml:space="preserve"/>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Direction de la recherche pour le Président du Conseil d'administration et le Président du Comité de vérification.</w:t>
            </w:r>
            <w:r w:rsidR="00770689">
              <w:rPr>
                <w:rFonts w:asciiTheme="minorHAnsi" w:hAnsiTheme="minorHAnsi" w:cs="Arial"/>
              </w:rPr>
              <w:t xml:space="preserve"/>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Réalisé des consultations avec le ministère des Finances pour les candidats au Conseil d’administration de la CGF.</w:t>
            </w:r>
            <w:r w:rsidR="00D2024F">
              <w:rPr>
                <w:rFonts w:asciiTheme="minorHAnsi" w:hAnsiTheme="minorHAnsi" w:cs="Arial"/>
              </w:rPr>
              <w:t/>
            </w:r>
            <w:r w:rsidRPr="003F1883">
              <w:rPr>
                <w:rFonts w:asciiTheme="minorHAnsi" w:hAnsiTheme="minorHAnsi" w:cs="Arial"/>
              </w:rPr>
              <w:t xml:space="preserve"/>
            </w:r>
            <w:r w:rsidR="005068EB">
              <w:rPr>
                <w:rFonts w:asciiTheme="minorHAnsi" w:hAnsiTheme="minorHAnsi" w:cs="Arial"/>
              </w:rPr>
              <w:t/>
            </w:r>
            <w:r w:rsidRPr="003F1883">
              <w:rPr>
                <w:rFonts w:asciiTheme="minorHAnsi" w:hAnsiTheme="minorHAnsi" w:cs="Arial"/>
              </w:rPr>
              <w:t xml:space="preserve"/>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Soutenir la mise en œuvre complète de CIC d'ici 2026-2027.</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Suspendu les opérations de CIC, tel que pertinent.</w:t>
            </w:r>
            <w:r w:rsidR="0029552C">
              <w:rPr>
                <w:rFonts w:asciiTheme="minorHAnsi" w:hAnsiTheme="minorHAnsi" w:cs="Arial"/>
                <w:color w:val="auto"/>
              </w:rPr>
              <w:t/>
            </w:r>
            <w:r w:rsidRPr="003F1883">
              <w:rPr>
                <w:rFonts w:asciiTheme="minorHAnsi" w:hAnsiTheme="minorHAnsi" w:cs="Arial"/>
                <w:color w:val="auto"/>
              </w:rPr>
              <w:t xml:space="preserve"/>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Maintenu les fonctions comptables et opérationnelles pendant l’intérim.</w:t>
            </w:r>
            <w:r w:rsidR="0029552C">
              <w:rPr>
                <w:rFonts w:asciiTheme="minorHAnsi" w:hAnsiTheme="minorHAnsi" w:cs="Arial"/>
                <w:color w:val="auto"/>
              </w:rPr>
              <w:t/>
            </w:r>
            <w:r w:rsidRPr="003F1883">
              <w:rPr>
                <w:rFonts w:asciiTheme="minorHAnsi" w:hAnsiTheme="minorHAnsi" w:cs="Arial"/>
                <w:color w:val="auto"/>
              </w:rPr>
              <w:t xml:space="preserve"/>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Gérer efficacement les opérations de CDEV.</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Progressé dans la mise en œuvre de la nouvelle orientation stratégique de CDEV.</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Intégré l’ESG dans les opérations quotidiennes de CDEV.</w:t>
            </w:r>
            <w:r w:rsidR="00901066">
              <w:rPr>
                <w:rFonts w:asciiTheme="minorHAnsi" w:hAnsiTheme="minorHAnsi" w:cs="Arial"/>
                <w:color w:val="auto"/>
              </w:rPr>
              <w:t/>
            </w:r>
            <w:r w:rsidRPr="003F1883">
              <w:rPr>
                <w:rFonts w:asciiTheme="minorHAnsi" w:hAnsiTheme="minorHAnsi" w:cs="Arial"/>
                <w:color w:val="auto"/>
              </w:rPr>
              <w:t xml:space="preserve"/>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Amélioré l’efficacité des activités quotidiennes internes et externes, notamment par une analyse rigoureuse des coûts/bénéfices des principales catégories de dépenses, une optimisation des déplacements et l’utilisation de conseillers.</w:t>
            </w:r>
            <w:r w:rsidRPr="56D17EB4">
              <w:rPr>
                <w:rFonts w:asciiTheme="minorHAnsi" w:hAnsiTheme="minorHAnsi" w:cs="Arial"/>
                <w:color w:val="auto"/>
              </w:rPr>
              <w:t/>
            </w:r>
            <w:r w:rsidR="6FC9AF54" w:rsidRPr="56D17EB4">
              <w:rPr>
                <w:rFonts w:asciiTheme="minorHAnsi" w:hAnsiTheme="minorHAnsi" w:cs="Arial"/>
                <w:color w:val="auto"/>
              </w:rPr>
              <w:t/>
            </w:r>
            <w:r w:rsidRPr="56D17EB4">
              <w:rPr>
                <w:rFonts w:asciiTheme="minorHAnsi" w:hAnsiTheme="minorHAnsi" w:cs="Arial"/>
                <w:color w:val="auto"/>
              </w:rPr>
              <w:t/>
            </w:r>
            <w:r w:rsidRPr="003F1883">
              <w:rPr>
                <w:rFonts w:asciiTheme="minorHAnsi" w:hAnsiTheme="minorHAnsi" w:cs="Arial"/>
                <w:color w:val="auto"/>
              </w:rPr>
              <w:t xml:space="preserve"/>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Mis en place un nouveau système de gestion des ressources humaines en ligne.</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Réalisé une enquête sur l’engagement des employés afin d’identifier des opportunités pour renforcer la culture et la cohésion d’équipe (à la suite de cette initiative, CDEV a obtenu la certification Great Place To Work®).</w:t>
            </w:r>
            <w:proofErr w:type="gramStart"/>
            <w:r w:rsidRPr="003F1883">
              <w:rPr>
                <w:rFonts w:asciiTheme="minorHAnsi" w:hAnsiTheme="minorHAnsi" w:cs="Arial"/>
                <w:color w:val="auto"/>
              </w:rPr>
              <w:t/>
            </w:r>
            <w:proofErr w:type="gramEnd"/>
            <w:r w:rsidRPr="003F1883">
              <w:rPr>
                <w:rFonts w:asciiTheme="minorHAnsi" w:hAnsiTheme="minorHAnsi" w:cs="Arial"/>
                <w:color w:val="auto"/>
              </w:rPr>
              <w:t xml:space="preserve"/>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Amélioré l’infrastructure de sécurité et le suivi des incidents informatiques, y compris le renforcement de la technologie contre la cybercriminalité.</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Transféré l’infrastructure informatique vers le cloud, ce qui réduit les coûts des serveurs et améliore les efficacités de travail ainsi que la collaboration grâce à l’utilisation de SharePoint. La structure des serveurs de CDEV a désormais complètement migré vers le cloud.</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Réalisé une analyse des plateformes technologiques.</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Rationalisé les processus dans certains domaines opérationnels, notamment en informatique et en finances.</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Optimisé le calendrier des réunions du Conseil d’administration en s’appuyant sur une infrastructure virtuelle, par exemple.</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Assister le gouvernement dans d’autres mandats (examens des actifs, nouvelles filiales, etc.).</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Identifié et engagé des parties prenantes clés et potentielles conformément au plan de développement des affaires.</w:t>
            </w:r>
            <w:r w:rsidR="00BB612F">
              <w:rPr>
                <w:rFonts w:asciiTheme="minorHAnsi" w:hAnsiTheme="minorHAnsi" w:cs="Arial"/>
                <w:color w:val="auto"/>
              </w:rPr>
              <w:t/>
            </w:r>
            <w:r w:rsidRPr="003F1883">
              <w:rPr>
                <w:rFonts w:asciiTheme="minorHAnsi" w:hAnsiTheme="minorHAnsi" w:cs="Arial"/>
                <w:color w:val="auto"/>
              </w:rPr>
              <w:t xml:space="preserve"/>
            </w:r>
            <w:r w:rsidR="00BB612F">
              <w:rPr>
                <w:rFonts w:asciiTheme="minorHAnsi" w:hAnsiTheme="minorHAnsi" w:cs="Arial"/>
                <w:color w:val="auto"/>
              </w:rPr>
              <w:t/>
            </w:r>
            <w:r w:rsidRPr="003F1883">
              <w:rPr>
                <w:rFonts w:asciiTheme="minorHAnsi" w:hAnsiTheme="minorHAnsi" w:cs="Arial"/>
                <w:color w:val="auto"/>
              </w:rPr>
              <w:t xml:space="preserve"/>
            </w:r>
            <w:r w:rsidR="003C2375">
              <w:rPr>
                <w:rFonts w:asciiTheme="minorHAnsi" w:hAnsiTheme="minorHAnsi" w:cs="Arial"/>
                <w:color w:val="auto"/>
              </w:rPr>
              <w:t xml:space="preserve"/>
            </w:r>
            <w:r w:rsidRPr="003F1883">
              <w:rPr>
                <w:rFonts w:asciiTheme="minorHAnsi" w:hAnsiTheme="minorHAnsi" w:cs="Arial"/>
                <w:color w:val="auto"/>
              </w:rPr>
              <w:t/>
            </w:r>
            <w:r w:rsidR="003C2375">
              <w:rPr>
                <w:rFonts w:asciiTheme="minorHAnsi" w:hAnsiTheme="minorHAnsi" w:cs="Arial"/>
                <w:color w:val="auto"/>
              </w:rPr>
              <w:t/>
            </w:r>
            <w:r w:rsidRPr="003F1883">
              <w:rPr>
                <w:rFonts w:asciiTheme="minorHAnsi" w:hAnsiTheme="minorHAnsi" w:cs="Arial"/>
                <w:color w:val="auto"/>
              </w:rPr>
              <w:t xml:space="preserve"/>
            </w:r>
            <w:r w:rsidR="00F40E2C">
              <w:rPr>
                <w:rFonts w:asciiTheme="minorHAnsi" w:hAnsiTheme="minorHAnsi" w:cs="Arial"/>
                <w:color w:val="auto"/>
              </w:rPr>
              <w:t/>
            </w:r>
            <w:r w:rsidRPr="003F1883">
              <w:rPr>
                <w:rFonts w:asciiTheme="minorHAnsi" w:hAnsiTheme="minorHAnsi" w:cs="Arial"/>
                <w:color w:val="auto"/>
              </w:rPr>
              <w:t xml:space="preserve"/>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les autres mandats actifs, voir la section 3.2.7 “Autres mandats” pour plus de détails.</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3.1.2 Les Piliers d’Expertise de CDEV.</w:t>
      </w:r>
      <w:r w:rsidR="001330D4">
        <w:t/>
      </w:r>
      <w:r>
        <w:t xml:space="preserve"/>
      </w:r>
      <w:r w:rsidR="001330D4">
        <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À la lumière de cette évaluation de performance, CDEV a été régulièrement sollicité pour soutenir un éventail croissant de mandats au cours des dernières années. De par la nature de son travail, CDEV évolue dans un environnement opérationnel large qui touche tout domaine dans lequel le gouvernement peut avoir des intérêts commerciaux. Au fil du temps, CDEV a développé une expertise spécifique basée sur l’expérience. Les piliers fondamentaux de l’expertise de CDEV incluent :</w:t>
      </w:r>
      <w:proofErr w:type="gramEnd"/>
      <w:r w:rsidR="00B479F6">
        <w:t xml:space="preserve"/>
      </w:r>
      <w:r w:rsidR="00A757F7">
        <w:t xml:space="preserve"/>
      </w:r>
      <w:r w:rsidR="00AE27C9">
        <w:t xml:space="preserve"/>
      </w:r>
      <w:r w:rsidR="00A71347">
        <w:t xml:space="preserve"/>
      </w:r>
      <w:r w:rsidR="00500A79">
        <w:t xml:space="preserve"/>
      </w:r>
      <w:r w:rsidR="006237EB">
        <w:t xml:space="preserve"/>
      </w:r>
      <w:r w:rsidR="00AE27C9">
        <w:t/>
      </w:r>
      <w:r w:rsidR="00A757F7">
        <w:t xml:space="preserve"/>
      </w:r>
      <w:r w:rsidR="00E001CE">
        <w:t xml:space="preserve"/>
      </w:r>
      <w:r w:rsidR="00C058CD">
        <w:t xml:space="preserve"/>
      </w:r>
      <w:r w:rsidR="00E31600">
        <w:t xml:space="preserve"/>
      </w:r>
      <w:r w:rsidR="00C058CD">
        <w:t/>
      </w:r>
      <w:r w:rsidR="00E31600">
        <w:t xml:space="preserve"/>
      </w:r>
      <w:r w:rsidR="00770A05">
        <w:t/>
      </w:r>
      <w:r w:rsidR="00E31600">
        <w:t xml:space="preserve"/>
      </w:r>
      <w:r w:rsidR="00C058CD">
        <w:t xml:space="preserve"/>
      </w:r>
      <w:r w:rsidR="00770A05">
        <w:t/>
      </w:r>
      <w:r w:rsidR="00C058CD">
        <w:t xml:space="preserve"/>
      </w:r>
      <w:r w:rsidR="00E66908">
        <w:t xml:space="preserve"/>
      </w:r>
      <w:r w:rsidR="00D05BB8">
        <w:t xml:space="preserve"/>
      </w:r>
      <w:r w:rsidR="00012D73">
        <w:t/>
      </w:r>
      <w:r w:rsidR="00440E59">
        <w:t xml:space="preserve"/>
      </w:r>
      <w:r w:rsidR="005D2A1D">
        <w:t xml:space="preserve"/>
      </w:r>
      <w:r w:rsidR="00E001CE">
        <w:t/>
      </w:r>
      <w:r w:rsidR="009D1A09">
        <w:t xml:space="preserve"/>
      </w:r>
      <w:r w:rsidR="00330D83" w:rsidRPr="00330D83">
        <w:t/>
      </w:r>
      <w:r w:rsidR="009E2BF5">
        <w:t xml:space="preserve"/>
      </w:r>
      <w:r w:rsidR="00B642F3">
        <w:t/>
      </w:r>
      <w:r w:rsidR="00330D83" w:rsidRPr="00330D83">
        <w:t/>
      </w:r>
    </w:p>
    <w:p w14:paraId="73BF2883" w14:textId="77777777" w:rsidR="00330D83" w:rsidRPr="00330D83" w:rsidRDefault="00330D83" w:rsidP="00CC2E3D">
      <w:pPr>
        <w:numPr>
          <w:ilvl w:val="1"/>
          <w:numId w:val="30"/>
        </w:numPr>
        <w:spacing w:after="0" w:line="240" w:lineRule="auto"/>
      </w:pPr>
      <w:r w:rsidRPr="00330D83">
        <w:t>Actifs gérés</w:t>
      </w:r>
    </w:p>
    <w:p w14:paraId="0782229A" w14:textId="0BA5B606" w:rsidR="00330D83" w:rsidRPr="00330D83" w:rsidRDefault="00330D83" w:rsidP="00CC2E3D">
      <w:pPr>
        <w:numPr>
          <w:ilvl w:val="1"/>
          <w:numId w:val="30"/>
        </w:numPr>
        <w:spacing w:after="0" w:line="240" w:lineRule="auto"/>
      </w:pPr>
      <w:r w:rsidRPr="00330D83">
        <w:t>Monétisation des actifs</w:t>
      </w:r>
    </w:p>
    <w:p w14:paraId="26762EE9" w14:textId="77777777" w:rsidR="00330D83" w:rsidRPr="00330D83" w:rsidRDefault="00330D83" w:rsidP="00CC2E3D">
      <w:pPr>
        <w:numPr>
          <w:ilvl w:val="1"/>
          <w:numId w:val="30"/>
        </w:numPr>
        <w:spacing w:after="0" w:line="240" w:lineRule="auto"/>
      </w:pPr>
      <w:r w:rsidRPr="00330D83">
        <w:t>Solutions de capital et de financement</w:t>
      </w:r>
    </w:p>
    <w:p w14:paraId="1EF266A1" w14:textId="77777777" w:rsidR="00330D83" w:rsidRPr="00330D83" w:rsidRDefault="00330D83" w:rsidP="00CC2E3D">
      <w:pPr>
        <w:numPr>
          <w:ilvl w:val="1"/>
          <w:numId w:val="30"/>
        </w:numPr>
        <w:spacing w:after="0" w:line="240" w:lineRule="auto"/>
      </w:pPr>
      <w:r w:rsidRPr="00330D83">
        <w:t>Conseil financier et revues stratégiques</w:t>
      </w:r>
    </w:p>
    <w:p w14:paraId="5457FAFD" w14:textId="77777777" w:rsidR="00330D83" w:rsidRDefault="00330D83" w:rsidP="00CC2E3D">
      <w:pPr>
        <w:numPr>
          <w:ilvl w:val="1"/>
          <w:numId w:val="30"/>
        </w:numPr>
        <w:spacing w:after="0" w:line="240" w:lineRule="auto"/>
      </w:pPr>
      <w:r w:rsidRPr="00330D83">
        <w:t>Participation économique autochtone</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Actifs gérés</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CDEV gère un « groupe d'entreprises » composé d’actifs stratégiques au nom du gouvernement du Canada. En tant que société mère du groupe, CDEV adopte une approche commerciale pour la gestion et la propriété de ces actifs. Comme indiqué ci-dessus, le groupe d'entreprises de CDEV comprend actuellement sept filiales, toutes ayant des mandats et objectifs variés.</w:t>
      </w:r>
      <w:r w:rsidR="00152B42">
        <w:t xml:space="preserve"/>
      </w:r>
      <w:r w:rsidR="00956636">
        <w:t xml:space="preserve"/>
      </w:r>
      <w:r w:rsidRPr="00083649">
        <w:t xml:space="preserve"/>
      </w:r>
      <w:r>
        <w:t xml:space="preserve"/>
      </w:r>
      <w:r w:rsidRPr="00083649">
        <w:t xml:space="preserve"/>
      </w:r>
      <w:r w:rsidR="00901027">
        <w:t/>
      </w:r>
      <w:r w:rsidR="00DF371A">
        <w:t/>
      </w:r>
      <w:r w:rsidR="00901027">
        <w:t xml:space="preserve"/>
      </w:r>
      <w:r>
        <w:t xml:space="preserve"/>
      </w:r>
      <w:r w:rsidR="008E6867">
        <w:t xml:space="preserve"/>
      </w:r>
      <w:r w:rsidR="0048613C">
        <w:t/>
      </w:r>
      <w:r w:rsidR="00E90BD0">
        <w:t/>
      </w:r>
      <w:r>
        <w:t xml:space="preserve"/>
      </w:r>
      <w:r w:rsidRPr="00083649">
        <w:t xml:space="preserve"/>
      </w:r>
      <w:r w:rsidR="00BB49E0">
        <w:t/>
      </w:r>
      <w:r w:rsidR="001B0889">
        <w:t/>
      </w:r>
      <w:r w:rsidR="00BB49E0">
        <w:t xml:space="preserve"/>
      </w:r>
      <w:r w:rsidR="00026FC2">
        <w:t/>
      </w:r>
      <w:r w:rsidR="009A53B5">
        <w:t/>
      </w:r>
      <w:r w:rsidR="004E59CC">
        <w:t xml:space="preserve"/>
      </w:r>
      <w:r w:rsidR="00105AC1">
        <w:t xml:space="preserve"/>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au nom du gouvernement du Canada, CDEV assure une supervision adéquate en matière de gouvernance et de financement, afin de garantir qu'ils remplissent leurs mandats respectifs, en se concentrant sur des résultats concrets, tels que l’accroissement de la valeur et de l’efficacité des intérêts économiques canadiens tout en maximisant les dividendes et les retours financiers pour le Canada.</w:t>
      </w:r>
      <w:r w:rsidR="007E0E9B">
        <w:t/>
      </w:r>
      <w:r w:rsidR="003206FC">
        <w:t xml:space="preserve"/>
      </w:r>
      <w:r w:rsidR="007E0E9B">
        <w:t xml:space="preserve"/>
      </w:r>
      <w:r w:rsidR="003B551F">
        <w:t xml:space="preserve"/>
      </w:r>
      <w:r w:rsidR="0027769B">
        <w:t/>
      </w:r>
      <w:r w:rsidR="002342D2">
        <w:t xml:space="preserve"/>
      </w:r>
      <w:r w:rsidR="0027769B">
        <w:t/>
      </w:r>
      <w:r w:rsidR="003206FC">
        <w:t xml:space="preserve"/>
      </w:r>
      <w:r w:rsidR="00C02EA0">
        <w:t/>
      </w:r>
      <w:r w:rsidR="003206FC">
        <w:t xml:space="preserve"/>
      </w:r>
      <w:r w:rsidR="00851168">
        <w:t xml:space="preserve"/>
      </w:r>
      <w:r w:rsidR="003206FC">
        <w:t xml:space="preserve"/>
      </w:r>
      <w:r w:rsidR="007E0BE0">
        <w:t xml:space="preserve"/>
      </w:r>
      <w:r w:rsidR="003206FC">
        <w:t xml:space="preserve"/>
      </w:r>
      <w:r w:rsidR="007E0BE0">
        <w:t xml:space="preserve"/>
      </w:r>
      <w:r w:rsidR="00057C48">
        <w:t/>
      </w:r>
      <w:r w:rsidR="0099043F">
        <w:t/>
      </w:r>
      <w:r w:rsidR="00C543A0">
        <w:t xml:space="preserve"/>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des actifs</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Au nom du gouvernement du Canada, CDEV acquiert et vend des actifs afin d'accélérer la croissance, maximiser la valeur et protéger l’intégrité de l’économie canadienne. La capacité de CDEV à analyser les résultats optimaux, mener des négociations stratégiques et effectuer des transferts de grande valeur garantit l’atteinte des objectifs financiers et politiques. Forte de ses décennies d’expérience en conseil financier et de son accès à des conseillers de calibre mondial, CDEV offre son expertise fiable dans la négociation et l’exécution des ventes au profit de tous les Canadiens.</w:t>
      </w:r>
      <w:r>
        <w:t/>
      </w:r>
      <w:r w:rsidRPr="00E05053">
        <w:t/>
      </w:r>
      <w:r>
        <w:t xml:space="preserve"/>
      </w:r>
      <w:r w:rsidRPr="00E05053">
        <w:t/>
      </w:r>
      <w:r>
        <w:t/>
      </w:r>
      <w:r w:rsidRPr="00E05053">
        <w:t/>
      </w:r>
      <w:r w:rsidR="00422602">
        <w:t xml:space="preserve"/>
      </w:r>
      <w:r w:rsidRPr="00E05053">
        <w:t xml:space="preserve"/>
      </w:r>
      <w:r w:rsidR="00A15188">
        <w:t xml:space="preserve"/>
      </w:r>
      <w:r w:rsidRPr="00E05053">
        <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À ce jour, CDEV a généré 9 milliards de dollars en produits nets issus de la vente d’actifs. Les transactions clés des 15 dernières années comprennent la vente des parts canadiennes dans Chrysler et General Motors, la vente de Ridley Terminals Inc., laquelle a impliqué un transfert inédit d’une participation de 10 % à des Premières Nations locales, ainsi que l’examen des blocs de charbon de Dominion Coal Blocks Inc., en collaboration avec Relations Couronne-Autochtones et Affaires du Nord.</w:t>
      </w:r>
      <w:r w:rsidR="0060368D">
        <w:t xml:space="preserve"/>
      </w:r>
      <w:r w:rsidR="00DF22FC">
        <w:t/>
      </w:r>
      <w:r w:rsidR="00DA6A32">
        <w:t xml:space="preserve"/>
      </w:r>
      <w:r w:rsidR="0060368D">
        <w:t/>
      </w:r>
      <w:r w:rsidR="006C2023">
        <w:t xml:space="preserve"/>
      </w:r>
      <w:r w:rsidR="003C08E5">
        <w:t/>
      </w:r>
      <w:r w:rsidR="0059364D">
        <w:t/>
      </w:r>
      <w:r w:rsidR="008F4FAC">
        <w:t xml:space="preserve"/>
      </w:r>
      <w:r w:rsidR="00CB43FE">
        <w:t/>
      </w:r>
      <w:r w:rsidR="003572B0">
        <w:t/>
      </w:r>
      <w:r w:rsidR="00CB43FE">
        <w:t/>
      </w:r>
      <w:r w:rsidR="00BC7E71">
        <w:t xml:space="preserve"/>
      </w:r>
      <w:r w:rsidR="00E3344C">
        <w:t/>
      </w:r>
      <w:r w:rsidR="00BC7E71">
        <w:t xml:space="preserve"/>
      </w:r>
      <w:r w:rsidR="00E10DBD">
        <w:t/>
      </w:r>
      <w:r w:rsidR="00D17560">
        <w:t/>
      </w:r>
      <w:r w:rsidR="004F516F">
        <w:t/>
      </w:r>
      <w:r w:rsidR="003C08E5">
        <w:t xml:space="preserve"/>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de capital et de financement</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conseille et fournit des solutions créatives en matière de capital et de financement.</w:t>
      </w:r>
      <w:r w:rsidR="0003659A">
        <w:t/>
      </w:r>
      <w:r w:rsidR="00F12348">
        <w:t/>
      </w:r>
      <w:r w:rsidR="0003659A">
        <w:t xml:space="preserve"/>
      </w:r>
      <w:r w:rsidR="00F12348">
        <w:t/>
      </w:r>
      <w:r w:rsidR="0003659A">
        <w:t xml:space="preserve"/>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Lorsque la pandémie de COVID-19 a menacé les entreprises et l’économie canadiennes en mars 2020, le gouvernement du Canada a sollicité CDEV pour concevoir et mettre en œuvre un programme de prêts d’urgence destiné aux grandes entreprises canadiennes. CDEV a rapidement développé le programme Facilité de financement d’urgence pour les grands employeurs (FFUGE) et a créé une filiale dédiée, la Société canadienne de financement d’urgence des entreprises (SFFE), pour le mettre en œuvre. Grâce à SFFE, CDEV bénéficie d’une vaste expérience dans la négociation de facilités de prêt garanties et non garanties allant de 100 millions à plus de 2 milliards de dollars, aidant ainsi des entreprises canadiennes importantes ayant des besoins complexes en financement. Depuis sa création, la SFFE a fourni plus de 7 milliards de dollars en liquidités aux grands employeurs canadiens et continue de gérer son portefeuille comprenant environ 2,8 milliards de dollars en prêts et actions.</w:t>
      </w:r>
      <w:r w:rsidR="00D001EB" w:rsidRPr="00D001EB">
        <w:t/>
      </w:r>
      <w:r w:rsidR="00E73CA6">
        <w:t/>
      </w:r>
      <w:r w:rsidR="00D001EB" w:rsidRPr="00D001EB">
        <w:t xml:space="preserve"/>
      </w:r>
      <w:r w:rsidR="00EE6052">
        <w:t xml:space="preserve"/>
      </w:r>
      <w:r w:rsidR="00D001EB" w:rsidRPr="00D001EB">
        <w:t xml:space="preserve"/>
      </w:r>
      <w:r w:rsidR="00D001EB" w:rsidRPr="00FA6271">
        <w:t xml:space="preserve"/>
      </w:r>
      <w:r w:rsidR="007D0B2A" w:rsidRPr="00FA6271">
        <w:t xml:space="preserve"/>
      </w:r>
      <w:r w:rsidR="00D001EB" w:rsidRPr="00FA6271">
        <w:t/>
      </w:r>
      <w:r w:rsidR="007D0B2A" w:rsidRPr="00FA6271">
        <w:t/>
      </w:r>
      <w:r w:rsidR="00D001EB" w:rsidRPr="00FA6271">
        <w:t xml:space="preserve"/>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également collaboré avec le ministère de l’Innovation, des Sciences et du Développement économique ainsi qu’avec le ministère des Finances pour structurer une transaction de financement avec Telesat. À la suite de ce travail, le gouvernement du Canada a annoncé, le 13 septembre 2024, un accord financier avec Telesat qui permettra à l’entreprise d’achever et d’exploiter Telesat Lightspeed, l’un des réseaux satellites les plus novateurs au monde. Grâce à un investissement de 2,14 milliards de dollars du gouvernement fédéral, Telesat Lightspeed représentera le plus grand programme spatial jamais réalisé au Canada et permettra de développer les réseaux internet et 5G dans les communautés à travers le pays, avec une connectivité abordable et haut débit grâce à son réseau de satellites en orbite basse. Dans le cadre de cet accord, CDEV a créé une nouvelle filiale, qui fournit un prêt à Telesat LEO Inc. pour financer la construction du projet, tout en détenant et gérant le prêt et les bons de souscription du gouvernement du Canada pour garantir que les contribuables canadiens profitent de cet investissement.</w:t>
      </w:r>
      <w:r w:rsidR="00BD355B" w:rsidRPr="00BD355B">
        <w:t xml:space="preserve"/>
      </w:r>
      <w:r w:rsidR="00BE0960">
        <w:t/>
      </w:r>
      <w:r w:rsidR="00BD355B" w:rsidRPr="00BD355B">
        <w:t xml:space="preserve"/>
      </w:r>
      <w:r w:rsidR="00BE0960">
        <w:t xml:space="preserve"/>
      </w:r>
      <w:r w:rsidR="00BD355B" w:rsidRPr="00BD355B">
        <w:t/>
      </w:r>
      <w:r w:rsidR="00FE2658">
        <w:t xml:space="preserve"/>
      </w:r>
      <w:r w:rsidR="00BB35F8">
        <w:t/>
      </w:r>
      <w:r w:rsidR="0045270C">
        <w:t xml:space="preserve"/>
      </w:r>
      <w:r w:rsidR="00FE2658" w:rsidRPr="00FE2658">
        <w:t/>
      </w:r>
      <w:r w:rsidR="003F1706">
        <w:t xml:space="preserve"/>
      </w:r>
      <w:r w:rsidR="00FE2658" w:rsidRPr="00FE2658">
        <w:t xml:space="preserve"/>
      </w:r>
      <w:r w:rsidR="0026110E">
        <w:t xml:space="preserve"/>
      </w:r>
      <w:r w:rsidR="007744DF">
        <w:t/>
      </w:r>
      <w:r w:rsidR="003F1706">
        <w:t xml:space="preserve"/>
      </w:r>
      <w:r w:rsidR="00FE2658" w:rsidRPr="00FE2658">
        <w:t xml:space="preserve"/>
      </w:r>
      <w:r w:rsidR="00FE2658" w:rsidRPr="00FE2658">
        <w:rPr>
          <w:i/>
          <w:iCs/>
        </w:rPr>
        <w:t/>
      </w:r>
      <w:r w:rsidR="00FE2658" w:rsidRPr="00FE2658">
        <w:t/>
      </w:r>
      <w:r w:rsidR="00BD355B" w:rsidRPr="00BD355B">
        <w:t/>
      </w:r>
      <w:r w:rsidR="004C71A6">
        <w:t/>
      </w:r>
      <w:r w:rsidR="00BD355B" w:rsidRPr="00BD355B">
        <w:t xml:space="preserve"/>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Conseil financier et revues stratégiques</w:t>
      </w:r>
      <w:r w:rsidR="00F320AA">
        <w:rPr>
          <w:color w:val="0F4761" w:themeColor="accent1" w:themeShade="BF"/>
        </w:rPr>
        <w:t xml:space="preserve"/>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L’expertise de CDEV en matière de conseil financier offre des analyses stratégiques et des conseils commerciaux pour aider le gouvernement du Canada à atteindre ses objectifs politiques.</w:t>
      </w:r>
      <w:r w:rsidR="00B060E6">
        <w:t xml:space="preserve"/>
      </w:r>
      <w:r w:rsidRPr="00DC6F4A">
        <w:t/>
      </w:r>
      <w:r w:rsidR="005B00B6">
        <w:t xml:space="preserve"/>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fournit des avis sur des questions cruciales, telles que les interventions financières, les négociations de financement d’entreprise, les examens d’actifs et les enjeux de gouvernance.</w:t>
      </w:r>
      <w:r w:rsidR="1CE8F79A">
        <w:t/>
      </w:r>
      <w:r>
        <w:t xml:space="preserve"/>
      </w:r>
      <w:r w:rsidR="00D86C20">
        <w:t/>
      </w:r>
      <w:r>
        <w:t xml:space="preserve"/>
      </w:r>
      <w:r w:rsidR="1CE8F79A">
        <w:t/>
      </w:r>
      <w:r>
        <w:t xml:space="preserve"/>
      </w:r>
      <w:r w:rsidR="00AA6E9F">
        <w:t/>
      </w:r>
      <w:r w:rsidR="00DB4409">
        <w:t/>
      </w:r>
      <w:r>
        <w:t xml:space="preserve"/>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 CDEV apporte son expertise et son leadership tout au long des phases de diligence raisonnable, d’analyse financière, d’évaluation des options, de négociation et de documentation, afin d’éclairer les risques et d’optimiser les bénéfices pour le Canada.</w:t>
      </w:r>
      <w:r w:rsidR="00D87FF9">
        <w:t/>
      </w:r>
      <w:r>
        <w:t xml:space="preserve"/>
      </w:r>
      <w:r w:rsidR="00A14175">
        <w:t xml:space="preserve"/>
      </w:r>
      <w:r w:rsidR="00B21221">
        <w:t/>
      </w:r>
      <w:r w:rsidR="00D347BF">
        <w:t/>
      </w:r>
      <w:r w:rsidR="00A14175">
        <w:t xml:space="preserve"/>
      </w:r>
      <w:r w:rsidR="002D6840">
        <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La combinaison de rapidité, d’expertise et d’exécution permettant d’obtenir des résultats optimaux tout en veillant à ce que les objectifs de politique publique restent prioritaires constitue l’un des attributs fondamentaux du travail de CDEV.</w:t>
      </w:r>
      <w:r w:rsidR="6B96B62C">
        <w:t xml:space="preserve"/>
      </w:r>
      <w:r w:rsidR="0056140A">
        <w:t xml:space="preserve"/>
      </w:r>
      <w:r w:rsidR="00D11324">
        <w:t xml:space="preserve"/>
      </w:r>
      <w:r w:rsidR="009772B4">
        <w:t xml:space="preserve"/>
      </w:r>
      <w:r w:rsidR="008C228E">
        <w:t/>
      </w:r>
      <w:r w:rsidR="6B96B62C">
        <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Participation économique des Autochtones</w:t>
      </w:r>
      <w:r w:rsidR="00F83044">
        <w:rPr>
          <w:color w:val="0F4761" w:themeColor="accent1" w:themeShade="BF"/>
        </w:rPr>
        <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contribué à structurer un transfert inédit de 10 % des parts sociales en faveur des Premières Nations locales. CDEV a joué un rôle déterminant en dirigeant les réflexions relatives à la participation économique des Autochtones et à l'accès au capital dans plusieurs situations clés. La mise en œuvre inaugurale du Programme fédéral de garantie de prêts pour les Autochtones ainsi que la participation économique autochtone au sein de Trans Mountain Corporation sont des transactions complexes et cruciales sur lesquelles CDEV travaille activement.</w:t>
      </w:r>
      <w:r w:rsidR="00350D54">
        <w:t/>
      </w:r>
      <w:r w:rsidR="00133486">
        <w:t/>
      </w:r>
      <w:r w:rsidR="000D128A">
        <w:t xml:space="preserve"/>
      </w:r>
      <w:r>
        <w:t xml:space="preserve"/>
      </w:r>
      <w:r w:rsidR="001F537D">
        <w:t xml:space="preserve"/>
      </w:r>
      <w:r w:rsidR="001F537D">
        <w:lastRenderedPageBreak/>
        <w:t/>
      </w:r>
      <w:r>
        <w:t/>
      </w:r>
      <w:r w:rsidR="00B4089B">
        <w:t xml:space="preserve"/>
      </w:r>
      <w:r w:rsidR="007D173E">
        <w:t/>
      </w:r>
      <w:r w:rsidR="00B4089B">
        <w:t xml:space="preserve"/>
      </w:r>
      <w:r w:rsidR="00850421">
        <w:t/>
      </w:r>
      <w:r w:rsidR="00B4089B">
        <w:t xml:space="preserve"/>
      </w:r>
      <w:r w:rsidR="008B12F9">
        <w:t xml:space="preserve"/>
      </w:r>
      <w:r w:rsidR="00CD1DBE">
        <w:t/>
      </w:r>
      <w:r w:rsidR="00AC7766">
        <w:t xml:space="preserve"/>
      </w:r>
      <w:r w:rsidR="005E32E6">
        <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Orientation stratégique future de CDEV</w:t>
      </w:r>
      <w:r w:rsidR="003529FF">
        <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En s’appuyant sur ces piliers d’expertise, et sous l’impulsion de son Conseil d’administration ainsi que du ministère des Finances, CDEV a été encouragé à entreprendre une revue plus large de son orientation stratégique. Cela s’inscrit dans une transformation récente importante de la culture d’entreprise, avec des ajouts récents à l’équipe de direction exécutive, ainsi que des investissements indispensables et tardifs dans les talents, la technologie et les processus afin d’optimiser le potentiel de CDEV au service du gouvernement à l’avenir.</w:t>
      </w:r>
      <w:r w:rsidR="00161F15">
        <w:t xml:space="preserve"/>
      </w:r>
      <w:r>
        <w:t/>
      </w:r>
      <w:r w:rsidR="009E40C5">
        <w:t/>
      </w:r>
      <w:r>
        <w:t xml:space="preserve"/>
      </w:r>
      <w:r w:rsidR="00D00622">
        <w:t/>
      </w:r>
      <w:r>
        <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stratégiques et déclaration stratégique</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a déterminé que sa future orientation stratégique devrait reposer sur les objectifs stratégiques globaux suivants : (a) renforcer ses piliers d’expertise, (b) tirer parti de son expertise commerciale, et (c) maximiser les retombées pour le Canada en soutenant la croissance économique et en favorisant les efficacités financières.</w:t>
      </w:r>
      <w:r w:rsidR="007B6F1A">
        <w:t/>
      </w:r>
      <w:r>
        <w:t xml:space="preserve"/>
      </w:r>
      <w:r w:rsidR="007B6F1A">
        <w:t/>
      </w:r>
      <w:r>
        <w:t xml:space="preserve"/>
      </w:r>
      <w:r w:rsidR="000D2066">
        <w:t/>
      </w:r>
      <w:r>
        <w:t xml:space="preserve"/>
      </w:r>
      <w:r w:rsidR="00345F9F">
        <w:t/>
      </w:r>
      <w:r>
        <w:t xml:space="preserve"/>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Ce faisant, CDEV entend être reconnu comme le centre d’excellence du gouvernement pour les conseils financiers, doté de l’état d’esprit commercial et des capacités nécessaires pour ajouter de la valeur au Canada, tout en exploitant ses piliers d'expertise.</w:t>
      </w:r>
      <w:r w:rsidR="001132C0">
        <w:t/>
      </w:r>
      <w:r>
        <w:t xml:space="preserve"/>
      </w:r>
      <w:r w:rsidRPr="001D0E8B">
        <w:t xml:space="preserve"/>
      </w:r>
      <w:proofErr w:type="spellStart"/>
      <w:r w:rsidRPr="001D0E8B">
        <w:t/>
      </w:r>
      <w:proofErr w:type="spellEnd"/>
      <w:r w:rsidRPr="001D0E8B">
        <w:t xml:space="preserve"/>
      </w:r>
      <w:r w:rsidR="001D0E8B">
        <w:t/>
      </w:r>
      <w:r>
        <w:t xml:space="preserve"/>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Principes stratégiques</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mise en œuvre de l’orientation stratégique de CDEV sera guidée par des objectifs et des résultats définis qui soutiennent les principes stratégiques suivants, lesquels sous-tendent le modèle opérationnel et l’état d’esprit global de CDEV et se reflètent dans toutes ses activités. Pendant la période de planification, CDEV envisagera des objectifs et des résultats plus précis pour chacun de ces principes stratégiques, ainsi que de nouvelles offres de service potentielles et améliorées tirant parti de ses piliers d’expertise. Tout au long du processus, CDEV veillera à ce que ses objectifs et ses résultats s’alignent directement sur les objectifs stratégiques globaux et la déclaration stratégique.</w:t>
      </w:r>
      <w:r w:rsidR="00DD02CD">
        <w:t xml:space="preserve"/>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Participer aux missions à plus forte valeur ajoutée</w:t>
      </w:r>
      <w:r w:rsidRPr="44D7D434">
        <w:rPr>
          <w:b/>
          <w:bCs/>
        </w:rPr>
        <w:t/>
      </w:r>
      <w:r>
        <w:t xml:space="preserve"> : développer le portefeuille de missions de CDEV pour garantir que nos compétences et expertises uniques soient mobilisées afin de maximiser les retombées pour le Canada.</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l’efficience et la durabilité financière : développer</w:t>
      </w:r>
      <w:r w:rsidRPr="009916E9">
        <w:rPr>
          <w:b/>
          <w:bCs/>
        </w:rPr>
        <w:t/>
      </w:r>
      <w:r w:rsidRPr="009916E9">
        <w:t xml:space="preserve"> et mettre en œuvre des processus supplémentaires pour optimiser les efficacités en matière de coûts, notamment les analyses coûts-avantages et rapports qualité-prix continus afin de garantir la durabilité financière à long terme de CDEV.</w:t>
      </w:r>
      <w:r>
        <w:t xml:space="preserve"/>
      </w:r>
      <w:r w:rsidRPr="009916E9">
        <w:t/>
      </w:r>
      <w:r>
        <w:t xml:space="preserve"/>
      </w:r>
      <w:r w:rsidRPr="009916E9">
        <w:t xml:space="preserve"/>
      </w:r>
      <w:r>
        <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Créer de la valeur via la gouvernance</w:t>
      </w:r>
      <w:r w:rsidRPr="009916E9">
        <w:rPr>
          <w:b/>
          <w:bCs/>
        </w:rPr>
        <w:t/>
      </w:r>
      <w:r w:rsidRPr="009916E9">
        <w:t xml:space="preserve"> : optimiser la gouvernance au sein des entreprises du groupe CDEV.</w:t>
      </w:r>
      <w:r>
        <w:t/>
      </w:r>
      <w:r w:rsidRPr="009916E9">
        <w:t xml:space="preserve"/>
      </w:r>
      <w:r>
        <w:t/>
      </w:r>
      <w:r w:rsidRPr="009916E9">
        <w:t/>
      </w:r>
      <w:r>
        <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Renforcer une culture organisationnelle solide</w:t>
      </w:r>
      <w:r w:rsidRPr="009916E9">
        <w:rPr>
          <w:b/>
          <w:bCs/>
        </w:rPr>
        <w:t/>
      </w:r>
      <w:r w:rsidRPr="009916E9">
        <w:t xml:space="preserve"> : continuer à développer une culture d’entreprise fondée sur un haut niveau de performance et un esprit commercial, tout en conservant une expertise spécialisée au profit du gouvernement du Canada.</w:t>
      </w:r>
      <w:r>
        <w:t/>
      </w:r>
      <w:r w:rsidRPr="009916E9">
        <w:t xml:space="preserve"/>
      </w:r>
      <w:r>
        <w:t xml:space="preserve"/>
      </w:r>
      <w:r w:rsidRPr="009916E9">
        <w:t xml:space="preserve"/>
      </w:r>
      <w:r>
        <w:t xml:space="preserve"/>
      </w:r>
      <w:r w:rsidRPr="009916E9">
        <w:t/>
      </w:r>
      <w:r>
        <w:t xml:space="preserve"/>
      </w:r>
      <w:r w:rsidRPr="009916E9">
        <w:t/>
      </w:r>
      <w:r>
        <w:t xml:space="preserve"/>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Participer aux missions à plus forte valeur ajoutée</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constituer une source centrale d’expertise commerciale pour le gouvernement en cohérence avec les priorités stratégiques du Canada. CDEV s’efforcera de maintenir un portefeuille stable de missions à forte valeur ajoutée en étant performant dans ses principaux domaines d'activité.</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En 2025-2029, les objectifs et les résultats viseront à :</w:t>
      </w:r>
      <w:r w:rsidRPr="00200C1F">
        <w:t xml:space="preserve"/>
      </w:r>
      <w:r>
        <w:t/>
      </w:r>
      <w:r w:rsidRPr="00200C1F">
        <w:t/>
      </w:r>
      <w:r>
        <w:t xml:space="preserve"/>
      </w:r>
      <w:r w:rsidRPr="00200C1F">
        <w:t/>
      </w:r>
      <w:r>
        <w:t/>
      </w:r>
      <w:r w:rsidRPr="00200C1F">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Tirer parti de l’expérience approfondie de CDEV dans les transactions commerciales afin de garantir que les projets futurs soient exécutés de manière aussi efficiente que possible pour le Canada.</w:t>
      </w:r>
      <w:r>
        <w:t/>
      </w:r>
      <w:r w:rsidRPr="00200C1F">
        <w:t xml:space="preserve"/>
      </w:r>
      <w:r>
        <w:t/>
      </w:r>
      <w:r w:rsidRPr="00200C1F">
        <w:t xml:space="preserve"/>
      </w:r>
      <w:r>
        <w:t/>
      </w:r>
    </w:p>
    <w:p w14:paraId="6E94566F" w14:textId="77777777" w:rsidR="00DD02CD" w:rsidRDefault="00DD02CD" w:rsidP="00CC2E3D">
      <w:pPr>
        <w:pStyle w:val="ListParagraph"/>
        <w:numPr>
          <w:ilvl w:val="0"/>
          <w:numId w:val="3"/>
        </w:numPr>
        <w:spacing w:after="0" w:line="240" w:lineRule="auto"/>
        <w:contextualSpacing w:val="0"/>
      </w:pPr>
      <w:r w:rsidRPr="00200C1F">
        <w:t>Apporter une rigueur commerciale dans les conseils, la négociation et l’exécution de transactions financières pour le compte du Canada.</w:t>
      </w:r>
      <w:r>
        <w:t xml:space="preserve"/>
      </w:r>
      <w:r w:rsidRPr="00200C1F">
        <w:t xml:space="preserve"/>
      </w:r>
      <w:proofErr w:type="spellStart"/>
      <w:r w:rsidRPr="00200C1F">
        <w:t/>
      </w:r>
      <w:proofErr w:type="spellEnd"/>
      <w:r w:rsidRPr="00200C1F">
        <w:t xml:space="preserve"/>
      </w:r>
      <w:r>
        <w:t/>
      </w:r>
      <w:r w:rsidRPr="00200C1F">
        <w:t xml:space="preserve"/>
      </w:r>
      <w:r>
        <w:t/>
      </w:r>
      <w:r w:rsidRPr="00200C1F">
        <w:t xml:space="preserve"/>
      </w:r>
      <w:r>
        <w:t xml:space="preserve"/>
      </w:r>
      <w:r w:rsidRPr="00200C1F">
        <w:t/>
      </w:r>
    </w:p>
    <w:p w14:paraId="4BC4D357" w14:textId="77777777" w:rsidR="00DD02CD" w:rsidRPr="00200C1F" w:rsidRDefault="00DD02CD" w:rsidP="00CC2E3D">
      <w:pPr>
        <w:pStyle w:val="ListParagraph"/>
        <w:numPr>
          <w:ilvl w:val="0"/>
          <w:numId w:val="3"/>
        </w:numPr>
        <w:spacing w:after="0" w:line="240" w:lineRule="auto"/>
        <w:contextualSpacing w:val="0"/>
      </w:pPr>
      <w:r>
        <w:t>Veiller à ce que CDEV dispose des ressources nécessaires pour répondre aux missions et mandats avec une volonté de capitaliser sur le savoir, de réduire la dépendance aux conseillers externes et de garantir une optimisation budgétaire et opérationnelle globale.</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Assurer l’efficience et la durabilité financière</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se concentrera sur l'élaboration de modèles de durabilité financière, en assurant une récupération appropriée des coûts et un retour sur le capital investi au Canada.</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 2025-2029, les objectifs et résultats se concentreront sur :</w:t>
      </w:r>
    </w:p>
    <w:p w14:paraId="152E1F2C" w14:textId="52D58FDB" w:rsidR="00DD02CD" w:rsidRDefault="00DD02CD" w:rsidP="00CC2E3D">
      <w:pPr>
        <w:pStyle w:val="ListParagraph"/>
        <w:numPr>
          <w:ilvl w:val="0"/>
          <w:numId w:val="4"/>
        </w:numPr>
        <w:spacing w:after="0" w:line="240" w:lineRule="auto"/>
      </w:pPr>
      <w:r>
        <w:t xml:space="preserve">Continuer à envisager des moyens de diversifier les sources de revenus et, par ailleurs, garantir la durabilité financière indépendante à long terme de CDEV au profit du Canada.</w:t>
      </w:r>
      <w:r w:rsidR="003A5691">
        <w:t/>
      </w:r>
      <w:r>
        <w:t xml:space="preserve"/>
      </w:r>
    </w:p>
    <w:p w14:paraId="256E91E9" w14:textId="77777777" w:rsidR="00DD02CD" w:rsidRDefault="00DD02CD" w:rsidP="00CC2E3D">
      <w:pPr>
        <w:pStyle w:val="ListParagraph"/>
        <w:numPr>
          <w:ilvl w:val="0"/>
          <w:numId w:val="4"/>
        </w:numPr>
        <w:spacing w:after="0" w:line="240" w:lineRule="auto"/>
        <w:contextualSpacing w:val="0"/>
      </w:pPr>
      <w:r w:rsidRPr="007B4F9A">
        <w:t>Évaluer et démontrer une bonne valeur pour l'argent dans l'exécution de ses mandats.</w:t>
      </w:r>
      <w:r>
        <w:t/>
      </w:r>
      <w:r w:rsidRPr="007B4F9A">
        <w:t xml:space="preserve"/>
      </w:r>
      <w:r>
        <w:t/>
      </w:r>
      <w:r w:rsidRPr="007B4F9A">
        <w:t xml:space="preserve"/>
      </w:r>
      <w:r>
        <w:t/>
      </w:r>
    </w:p>
    <w:p w14:paraId="1DE05098" w14:textId="18E27FE4" w:rsidR="00DD02CD" w:rsidRDefault="00330DC5" w:rsidP="00CC2E3D">
      <w:pPr>
        <w:pStyle w:val="ListParagraph"/>
        <w:numPr>
          <w:ilvl w:val="0"/>
          <w:numId w:val="4"/>
        </w:numPr>
        <w:spacing w:after="0" w:line="240" w:lineRule="auto"/>
        <w:contextualSpacing w:val="0"/>
      </w:pPr>
      <w:r>
        <w:t>Comprendre avec précision et répartir les coûts associés à ses différentes opérations et affectations.</w:t>
      </w:r>
      <w:r w:rsidR="00DD02CD">
        <w:t/>
      </w:r>
      <w:r w:rsidR="00BB2C36">
        <w:t/>
      </w:r>
      <w:r w:rsidR="00DD02CD">
        <w:t xml:space="preserve"/>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Générer de la valeur grâce à une gouvernance renforcée</w:t>
      </w:r>
      <w:r w:rsidR="00142934">
        <w:rPr>
          <w:color w:val="0F4761" w:themeColor="accent1" w:themeShade="BF"/>
        </w:rPr>
        <w:t/>
      </w:r>
      <w:r w:rsidRPr="000736EE">
        <w:rPr>
          <w:color w:val="0F4761" w:themeColor="accent1" w:themeShade="BF"/>
        </w:rPr>
        <w:t xml:space="preserve"/>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en matière de pratiques de gouvernance exemplaires permet à CDEV de fournir une supervision enrichissante de ses filiales et de faciliter la responsabilité gouvernementale tout en maintenant son indépendance.</w:t>
      </w:r>
      <w:r>
        <w:t/>
      </w:r>
      <w:r w:rsidRPr="00B506CF">
        <w:t/>
      </w:r>
      <w:r>
        <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 2025-2029, les objectifs et résultats se concentreront sur :</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 mère, examiner des approches spécifiques pour superviser le groupe élargi d'entreprises de CDEV, en capitalisant sur les compétences et la capacité de CDEV pour générer des efficacités pour le gouvernement du Canada.</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Construire une culture organisationnelle forte</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de se concentrer sur l'intégration de talents performants afin d'assurer la rétention des connaissances corporatives pour le bénéfice du Canada. Au cours de l'année écoulée, CDEV a considérablement amélioré ses processus de communication, tant en interne qu'en externe, afin de renforcer sa réputation parmi les parties prenantes et de favoriser la cohésion de l'équipe. Cela inclut l'activation d'un compte LinkedIn, la mise en place de séances « Lunch &amp; Learn » et l'élaboration d'une approche en matière de diversité, d'équité et d'inclusion au sein de CDEV. Par conséquent, CDEV a obtenu la certification Great Place To Work® en août 2024.</w:t>
      </w:r>
      <w:r w:rsidR="00D549B2">
        <w:t/>
      </w:r>
      <w:r w:rsidRPr="00503C9E">
        <w:t/>
      </w:r>
      <w:r>
        <w:t/>
      </w:r>
      <w:r w:rsidR="00423334">
        <w:t/>
      </w:r>
      <w:r>
        <w:t xml:space="preserve"/>
      </w:r>
      <w:proofErr w:type="gramStart"/>
      <w:r>
        <w:t/>
      </w:r>
      <w:proofErr w:type="gramEnd"/>
      <w:r>
        <w:t xml:space="preserve"/>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 2025-2029, les objectifs et résultats se concentreront sur :</w:t>
      </w:r>
    </w:p>
    <w:p w14:paraId="43AFE376" w14:textId="6094524B" w:rsidR="00DD02CD" w:rsidRDefault="00DD02CD" w:rsidP="00CC2E3D">
      <w:pPr>
        <w:pStyle w:val="ListParagraph"/>
        <w:numPr>
          <w:ilvl w:val="0"/>
          <w:numId w:val="6"/>
        </w:numPr>
        <w:spacing w:after="0" w:line="240" w:lineRule="auto"/>
      </w:pPr>
      <w:r w:rsidRPr="003212D7">
        <w:t>Faire évoluer sa culture interne et sa proposition globale de valeur pour les employés afin de construire, développer et conserver une équipe performante et axée sur le commerce.</w:t>
      </w:r>
      <w:r>
        <w:t/>
      </w:r>
      <w:r w:rsidRPr="003212D7">
        <w:t xml:space="preserve"/>
      </w:r>
      <w:r>
        <w:t xml:space="preserve"/>
      </w:r>
      <w:r w:rsidRPr="003212D7">
        <w:t xml:space="preserve"/>
      </w:r>
      <w:r>
        <w:t/>
      </w:r>
      <w:r w:rsidRPr="003212D7">
        <w:t xml:space="preserve"/>
      </w:r>
      <w:r>
        <w:t/>
      </w:r>
      <w:r w:rsidRPr="003212D7">
        <w:t xml:space="preserve"/>
      </w:r>
      <w:r>
        <w:t/>
      </w:r>
      <w:r w:rsidRPr="003212D7">
        <w:t xml:space="preserve"/>
      </w:r>
      <w:r>
        <w:t/>
      </w:r>
      <w:r w:rsidRPr="003212D7">
        <w:t xml:space="preserve"/>
      </w:r>
      <w:r>
        <w:t xml:space="preserve"/>
      </w:r>
      <w:r w:rsidR="002F53D3">
        <w:t xml:space="preserve"/>
      </w:r>
      <w:r>
        <w:t xml:space="preserve"/>
      </w:r>
      <w:r w:rsidRPr="003212D7">
        <w:t/>
      </w:r>
      <w:r>
        <w:t/>
      </w:r>
    </w:p>
    <w:p w14:paraId="4DB5F7C3" w14:textId="42685A8E" w:rsidR="00DD02CD" w:rsidRPr="003212D7" w:rsidRDefault="00DD02CD" w:rsidP="00CC2E3D">
      <w:pPr>
        <w:pStyle w:val="ListParagraph"/>
        <w:numPr>
          <w:ilvl w:val="0"/>
          <w:numId w:val="6"/>
        </w:numPr>
        <w:spacing w:after="0" w:line="240" w:lineRule="auto"/>
      </w:pPr>
      <w:r>
        <w:t>Revoir sa mission, sa vision et ses valeurs en accord avec son orientation stratégique.</w:t>
      </w:r>
    </w:p>
    <w:p w14:paraId="58EEE222" w14:textId="77777777" w:rsidR="00DD02CD" w:rsidRDefault="00DD02CD" w:rsidP="00CC2E3D">
      <w:pPr>
        <w:pStyle w:val="ListParagraph"/>
        <w:numPr>
          <w:ilvl w:val="0"/>
          <w:numId w:val="6"/>
        </w:numPr>
        <w:spacing w:after="0" w:line="240" w:lineRule="auto"/>
      </w:pPr>
      <w:r w:rsidRPr="003212D7">
        <w:t>Tirer parti des détachements auprès des secteurs privé et public pour établir un lien entre ces deux perspectives.</w:t>
      </w:r>
      <w:r>
        <w:t/>
      </w:r>
      <w:r w:rsidRPr="003212D7">
        <w:t xml:space="preserve"/>
      </w:r>
      <w:r>
        <w:t/>
      </w:r>
      <w:r w:rsidRPr="003212D7">
        <w:t xml:space="preserve"/>
      </w:r>
      <w:r>
        <w:t xml:space="preserve"/>
      </w:r>
      <w:r w:rsidRPr="003212D7">
        <w:t/>
      </w:r>
      <w:r>
        <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Offres potentielles nouvelles et améliorées</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En plus de définir des objectifs visant à faire progresser chacun des piliers d'expertise couvrant toutes les activités de CDEV, CDEV envisage également des opportunités spécifiques pour des offres nouvelles et améliorées au sein de chaque pilier d'expertise, en alignement avec le ministère des Finances comme résumé ci-dessous.</w:t>
      </w:r>
      <w:r w:rsidR="003F1883">
        <w:t/>
      </w:r>
      <w:r>
        <w:t xml:space="preserve"/>
      </w:r>
      <w:r w:rsidR="00DD02CD">
        <w:t xml:space="preserve"/>
      </w:r>
      <w:r w:rsidR="00D3730F">
        <w:t/>
      </w:r>
      <w:r w:rsidR="00DD02CD">
        <w:t xml:space="preserve"/>
      </w:r>
      <w:r>
        <w:t xml:space="preserve"/>
      </w:r>
      <w:r w:rsidR="00DD02CD">
        <w:t xml:space="preserve"/>
      </w:r>
      <w:r>
        <w:t xml:space="preserve"/>
      </w:r>
      <w:r w:rsidR="00DD02CD">
        <w:t/>
      </w:r>
      <w:r w:rsidR="007B40FC">
        <w:t xml:space="preserve"/>
      </w:r>
      <w:r w:rsidR="00DD02CD">
        <w:t xml:space="preserve"/>
      </w:r>
      <w:r w:rsidR="00340DAC">
        <w:t/>
      </w:r>
      <w:r w:rsidR="008A55C2">
        <w:t xml:space="preserve"/>
      </w:r>
      <w:r w:rsidR="00DD02CD">
        <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w:t>
            </w:r>
          </w:p>
        </w:tc>
        <w:tc>
          <w:tcPr>
            <w:tcW w:w="3576" w:type="pct"/>
          </w:tcPr>
          <w:p w14:paraId="50BB3C09" w14:textId="752EEEF5" w:rsidR="00DD02CD" w:rsidRDefault="009837C3">
            <w:pPr>
              <w:rPr>
                <w:rFonts w:cs="Arial"/>
                <w:lang w:val="en-CA"/>
              </w:rPr>
            </w:pPr>
            <w:r>
              <w:rPr>
                <w:rFonts w:cs="Arial"/>
                <w:lang w:val="en-CA"/>
              </w:rPr>
              <w:t xml:space="preserve">Développer et réserver des capacités pour fournir un soutien lié à l'acquisition de nouveaux actifs ou intérêts commerciaux par le gouvernement.</w:t>
            </w:r>
            <w:r w:rsidR="00DD02CD">
              <w:rPr>
                <w:rFonts w:cs="Arial"/>
                <w:lang w:val="en-CA"/>
              </w:rPr>
              <w:t xml:space="preserve"/>
            </w:r>
            <w:r w:rsidR="00AB29F0">
              <w:rPr>
                <w:rFonts w:cs="Arial"/>
                <w:lang w:val="en-CA"/>
              </w:rPr>
              <w:t/>
            </w:r>
            <w:r w:rsidR="00DD02CD">
              <w:rPr>
                <w:rFonts w:cs="Arial"/>
                <w:lang w:val="en-CA"/>
              </w:rPr>
              <w:t xml:space="preserve"/>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Examiner continuellement ses sociétés affiliées dans le but d'identifier des opportunités d'amélioration de la valeur et optimiser la supervision et la gouvernance des opérations.</w:t>
            </w:r>
            <w:r w:rsidR="00981A35">
              <w:rPr>
                <w:rFonts w:cs="Arial"/>
                <w:lang w:val="en-CA"/>
              </w:rPr>
              <w:t xml:space="preserve"/>
            </w:r>
            <w:r w:rsidR="00E53FF6">
              <w:rPr>
                <w:rFonts w:cs="Arial"/>
                <w:lang w:val="en-CA"/>
              </w:rPr>
              <w:t xml:space="preserve"/>
            </w:r>
            <w:r w:rsidR="00DD02CD">
              <w:rPr>
                <w:rFonts w:cs="Arial"/>
                <w:lang w:val="en-CA"/>
              </w:rPr>
              <w:t xml:space="preserve"/>
            </w:r>
            <w:r w:rsidR="006E5DAA">
              <w:rPr>
                <w:rFonts w:cs="Arial"/>
                <w:lang w:val="en-CA"/>
              </w:rPr>
              <w:t xml:space="preserve"/>
            </w:r>
            <w:r w:rsidR="00F86D86">
              <w:rPr>
                <w:rFonts w:cs="Arial"/>
                <w:lang w:val="en-CA"/>
              </w:rPr>
              <w:t/>
            </w:r>
            <w:r w:rsidR="006E5DAA">
              <w:rPr>
                <w:rFonts w:cs="Arial"/>
                <w:lang w:val="en-CA"/>
              </w:rPr>
              <w:t xml:space="preserve"/>
            </w:r>
            <w:r w:rsidR="00DD02CD">
              <w:rPr>
                <w:rFonts w:cs="Arial"/>
                <w:lang w:val="en-CA"/>
              </w:rPr>
              <w:t/>
            </w:r>
            <w:r w:rsidR="00D2520F">
              <w:rPr>
                <w:rFonts w:cs="Arial"/>
                <w:lang w:val="en-CA"/>
              </w:rPr>
              <w:t xml:space="preserve"/>
            </w:r>
            <w:r w:rsidR="00DD02CD">
              <w:rPr>
                <w:rFonts w:cs="Arial"/>
                <w:lang w:val="en-CA"/>
              </w:rPr>
              <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Envisager d'autres moyens par lesquels CDEV peut agir en tant que centre d'excellence en développant, programmant et lançant de nouvelles entreprises tout en assurant la mise en œuvre d'une gouvernance appropriée.</w:t>
            </w:r>
            <w:r w:rsidR="00A40674">
              <w:rPr>
                <w:rFonts w:cs="Arial"/>
                <w:lang w:val="en-CA"/>
              </w:rPr>
              <w:t xml:space="preserve"/>
            </w:r>
            <w:r w:rsidR="009A2B7B">
              <w:rPr>
                <w:rFonts w:cs="Arial"/>
                <w:lang w:val="en-CA"/>
              </w:rPr>
              <w:t/>
            </w:r>
            <w:r w:rsidR="00A40674">
              <w:rPr>
                <w:rFonts w:cs="Arial"/>
                <w:lang w:val="en-CA"/>
              </w:rPr>
              <w:t xml:space="preserve"/>
            </w:r>
            <w:r>
              <w:rPr>
                <w:rFonts w:cs="Arial"/>
                <w:lang w:val="en-CA"/>
              </w:rPr>
              <w:t xml:space="preserve"/>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des actifs</w:t>
            </w:r>
          </w:p>
        </w:tc>
        <w:tc>
          <w:tcPr>
            <w:tcW w:w="3576" w:type="pct"/>
          </w:tcPr>
          <w:p w14:paraId="37D606F3" w14:textId="70C709AB" w:rsidR="00DD02CD" w:rsidRDefault="00A34163">
            <w:pPr>
              <w:rPr>
                <w:rFonts w:cs="Arial"/>
                <w:lang w:val="en-CA"/>
              </w:rPr>
            </w:pPr>
            <w:r>
              <w:rPr>
                <w:rFonts w:cs="Arial"/>
                <w:lang w:val="en-CA"/>
              </w:rPr>
              <w:t>Développer et réserver des capacités pour répondre aux activités de monétisation lancées par le gouvernement.</w:t>
            </w:r>
            <w:r w:rsidR="00DD02CD">
              <w:rPr>
                <w:rFonts w:cs="Arial"/>
                <w:lang w:val="en-CA"/>
              </w:rPr>
              <w:t xml:space="preserve"/>
            </w:r>
            <w:r w:rsidR="00377043">
              <w:rPr>
                <w:rFonts w:cs="Arial"/>
                <w:lang w:val="en-CA"/>
              </w:rPr>
              <w:t xml:space="preserve"/>
            </w:r>
            <w:r w:rsidR="00DD02CD">
              <w:rPr>
                <w:rFonts w:cs="Arial"/>
                <w:lang w:val="en-CA"/>
              </w:rPr>
              <w:t xml:space="preserve"/>
            </w:r>
            <w:r w:rsidR="00377043">
              <w:rPr>
                <w:rFonts w:cs="Arial"/>
                <w:lang w:val="en-CA"/>
              </w:rPr>
              <w:t/>
            </w:r>
            <w:r w:rsidR="00DD02CD">
              <w:rPr>
                <w:rFonts w:cs="Arial"/>
                <w:lang w:val="en-CA"/>
              </w:rPr>
              <w:t xml:space="preserve"/>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Réaliser un travail préparatoire visant à montrer comment CDEV peut jouer un rôle central en matière de monétisation par le gouvernement, en coordination avec le ministère des Finances.</w:t>
            </w:r>
            <w:r w:rsidR="00BA3BA6">
              <w:rPr>
                <w:rFonts w:cs="Arial"/>
                <w:lang w:val="en-CA"/>
              </w:rPr>
              <w:t xml:space="preserve"/>
            </w:r>
            <w:r w:rsidR="006924D9">
              <w:rPr>
                <w:rFonts w:cs="Arial"/>
                <w:lang w:val="en-CA"/>
              </w:rPr>
              <w:t/>
            </w:r>
            <w:r w:rsidR="00BA3BA6">
              <w:rPr>
                <w:rFonts w:cs="Arial"/>
                <w:lang w:val="en-CA"/>
              </w:rPr>
              <w:t xml:space="preserve"/>
            </w:r>
            <w:r w:rsidR="00DD02CD">
              <w:rPr>
                <w:rFonts w:cs="Arial"/>
                <w:lang w:val="en-CA"/>
              </w:rPr>
              <w:t xml:space="preserve"/>
            </w:r>
            <w:r w:rsidR="006C6A20">
              <w:rPr>
                <w:rFonts w:cs="Arial"/>
                <w:lang w:val="en-CA"/>
              </w:rPr>
              <w:t/>
            </w:r>
            <w:r w:rsidR="00DD02CD">
              <w:rPr>
                <w:rFonts w:cs="Arial"/>
                <w:lang w:val="en-CA"/>
              </w:rPr>
              <w:t xml:space="preserve"/>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capital et de financement</w:t>
            </w:r>
          </w:p>
        </w:tc>
        <w:tc>
          <w:tcPr>
            <w:tcW w:w="3576" w:type="pct"/>
          </w:tcPr>
          <w:p w14:paraId="62DDAC15" w14:textId="55DBB55F" w:rsidR="00DD02CD" w:rsidRDefault="003854B5">
            <w:pPr>
              <w:rPr>
                <w:rFonts w:cs="Arial"/>
                <w:lang w:val="en-CA"/>
              </w:rPr>
            </w:pPr>
            <w:r>
              <w:rPr>
                <w:rFonts w:cs="Arial"/>
                <w:lang w:val="en-CA"/>
              </w:rPr>
              <w:t>Poursuivre la mise en œuvre du Programme de garantie de prêt aux Autochtones et gérer le prêt à Telesat LEO Inc. ainsi que le portefeuille d'actifs du Programme de Financement d’urgence pour les grands employeurs, conformément aux attentes du ministre des Finances.</w:t>
            </w:r>
            <w:r w:rsidR="00DD02CD">
              <w:rPr>
                <w:rFonts w:cs="Arial"/>
                <w:lang w:val="en-CA"/>
              </w:rPr>
              <w:t xml:space="preserve"/>
            </w:r>
            <w:r w:rsidR="00E701BF">
              <w:rPr>
                <w:rFonts w:cs="Arial"/>
                <w:lang w:val="en-CA"/>
              </w:rPr>
              <w:t/>
            </w:r>
            <w:r w:rsidR="00DD02CD">
              <w:rPr>
                <w:rFonts w:cs="Arial"/>
                <w:lang w:val="en-CA"/>
              </w:rPr>
              <w:t xml:space="preserve"/>
            </w:r>
            <w:r w:rsidR="00CC58AE">
              <w:rPr>
                <w:rFonts w:cs="Arial"/>
                <w:lang w:val="en-CA"/>
              </w:rPr>
              <w:t xml:space="preserve"/>
            </w:r>
            <w:r w:rsidR="00DD02CD">
              <w:rPr>
                <w:rFonts w:cs="Arial"/>
                <w:lang w:val="en-CA"/>
              </w:rPr>
              <w:t xml:space="preserve"/>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Envisager des moyens par lesquels CDEV peut soutenir de futures priorités similaires du gouvernement du Canada, en tirant parti de son expertise et de ses processus dans ce domaine.</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Conseils financiers et examens stratégiques</w:t>
            </w:r>
            <w:r>
              <w:rPr>
                <w:rFonts w:cs="Arial"/>
                <w:b/>
                <w:bCs/>
                <w:lang w:val="en-CA"/>
              </w:rPr>
              <w:t xml:space="preserve"/>
            </w:r>
          </w:p>
        </w:tc>
        <w:tc>
          <w:tcPr>
            <w:tcW w:w="3576" w:type="pct"/>
          </w:tcPr>
          <w:p w14:paraId="564AB5C6" w14:textId="0E3F9CDF" w:rsidR="00DD02CD" w:rsidRDefault="00921871">
            <w:pPr>
              <w:rPr>
                <w:rFonts w:cs="Arial"/>
                <w:lang w:val="en-CA"/>
              </w:rPr>
            </w:pPr>
            <w:r>
              <w:rPr>
                <w:rFonts w:cs="Arial"/>
                <w:lang w:val="en-CA"/>
              </w:rPr>
              <w:t>Développer et réserver des capacités pour fournir les services commerciaux et de conseil nécessaires, ainsi que des contributions à la prise de décision, lorsque requis par le ministère des Finances.</w:t>
            </w:r>
            <w:r w:rsidR="00DD02CD">
              <w:rPr>
                <w:rFonts w:cs="Arial"/>
                <w:lang w:val="en-CA"/>
              </w:rPr>
              <w:t xml:space="preserve"/>
            </w:r>
            <w:r w:rsidR="005652A8">
              <w:rPr>
                <w:rFonts w:cs="Arial"/>
                <w:lang w:val="en-CA"/>
              </w:rPr>
              <w:t/>
            </w:r>
            <w:r w:rsidR="00C74D44">
              <w:rPr>
                <w:rFonts w:cs="Arial"/>
                <w:lang w:val="en-CA"/>
              </w:rPr>
              <w:t/>
            </w:r>
            <w:r w:rsidR="00614C59">
              <w:rPr>
                <w:rFonts w:cs="Arial"/>
                <w:lang w:val="en-CA"/>
              </w:rPr>
              <w:t xml:space="preserve"/>
            </w:r>
            <w:r w:rsidR="00DD534F">
              <w:rPr>
                <w:rFonts w:cs="Arial"/>
                <w:lang w:val="en-CA"/>
              </w:rPr>
              <w:t/>
            </w:r>
            <w:r w:rsidR="00053D2C">
              <w:rPr>
                <w:rFonts w:cs="Arial"/>
                <w:lang w:val="en-CA"/>
              </w:rPr>
              <w:t xml:space="preserve"/>
            </w:r>
            <w:r w:rsidR="00DD02CD">
              <w:rPr>
                <w:rFonts w:cs="Arial"/>
                <w:lang w:val="en-CA"/>
              </w:rPr>
              <w:t xml:space="preserve"/>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Réaliser un travail préparatoire pour examiner les revues d'amélioration de la valeur et les optimisations commerciales des actifs gouvernementaux. Envisager des moyens par lesquels CDEV peut augmenter l'efficacité de ce processus d'examen.</w:t>
            </w:r>
            <w:r w:rsidR="00DD02CD">
              <w:rPr>
                <w:rFonts w:cs="Arial"/>
                <w:lang w:val="en-CA"/>
              </w:rPr>
              <w:t xml:space="preserve"/>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des Autochtones</w:t>
            </w:r>
          </w:p>
        </w:tc>
        <w:tc>
          <w:tcPr>
            <w:tcW w:w="3576" w:type="pct"/>
          </w:tcPr>
          <w:p w14:paraId="5FCC56BC" w14:textId="5DB95348" w:rsidR="00DD02CD" w:rsidRDefault="005D45A2">
            <w:pPr>
              <w:rPr>
                <w:rFonts w:cs="Arial"/>
                <w:lang w:val="en-CA"/>
              </w:rPr>
            </w:pPr>
            <w:r>
              <w:rPr>
                <w:rFonts w:cs="Arial"/>
                <w:lang w:val="en-CA"/>
              </w:rPr>
              <w:t>Poursuivre la mise en œuvre du Programme de garantie de prêt aux Autochtones.</w:t>
            </w:r>
            <w:r w:rsidR="00DD02CD">
              <w:rPr>
                <w:rFonts w:cs="Arial"/>
                <w:lang w:val="en-CA"/>
              </w:rPr>
              <w:t xml:space="preserve"/>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Envisager des moyens par lesquels CDEV peut tirer parti de son expérience antérieure en structuration de participations économiques autochtones et jouer un rôle accru dans des initiatives d'accès au capital comparables, en alignement avec le ministère des Finances.</w:t>
            </w:r>
            <w:r w:rsidR="00AC2A00">
              <w:rPr>
                <w:rFonts w:cs="Arial"/>
                <w:lang w:val="en-CA"/>
              </w:rPr>
              <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4.0 Principales activités, résultats prévus et objectifs pour le groupe de sociétés de CDEV</w:t>
      </w:r>
      <w:r w:rsidR="001B6C25">
        <w:t xml:space="preserve"/>
      </w:r>
      <w:r w:rsidR="0056685D">
        <w:t/>
      </w:r>
      <w:r w:rsidR="00757560">
        <w:t/>
      </w:r>
      <w:r w:rsidR="0056685D">
        <w:t xml:space="preserve"/>
      </w:r>
      <w:r w:rsidR="00B961E3">
        <w:t/>
      </w:r>
      <w:r w:rsidR="00D00F96">
        <w:t xml:space="preserve"/>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4.1 Canada Eldor Inc.</w:t>
      </w:r>
      <w:r w:rsidR="001B6C25">
        <w:t xml:space="preserve"/>
      </w:r>
      <w:r w:rsidR="0056685D">
        <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des activités</w:t>
      </w:r>
      <w:r w:rsidR="00497318">
        <w:rPr>
          <w:color w:val="0F4761" w:themeColor="accent1" w:themeShade="BF"/>
        </w:rPr>
        <w:t xml:space="preserve"/>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par l'intermédiaire de Cameco, le gestionnaire et titulaire de licence du site minier Beaverlodge, continue de gérer les propriétés pour lesquelles il détient une licence. L'objectif de CEI est de transférer les propriétés restantes au programme de contrôle institutionnel (« IC ») du gouvernement de la Saskatchewan d'ici à 2025.</w:t>
      </w:r>
      <w:proofErr w:type="spellStart"/>
      <w:r w:rsidRPr="00AA3A2A">
        <w:t/>
      </w:r>
      <w:proofErr w:type="spellEnd"/>
      <w:r w:rsidRPr="00AA3A2A">
        <w:t xml:space="preserve"/>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Résultats prévus et objectifs</w:t>
      </w:r>
      <w:r w:rsidR="00497318">
        <w:rPr>
          <w:color w:val="0F4761" w:themeColor="accent1" w:themeShade="BF"/>
        </w:rPr>
        <w:t/>
      </w:r>
      <w:r>
        <w:rPr>
          <w:color w:val="0F4761" w:themeColor="accent1" w:themeShade="BF"/>
        </w:rPr>
        <w:t xml:space="preserve"/>
      </w:r>
      <w:r w:rsidR="00497318">
        <w:rPr>
          <w:color w:val="0F4761" w:themeColor="accent1" w:themeShade="BF"/>
        </w:rPr>
        <w:t/>
      </w:r>
      <w:r>
        <w:rPr>
          <w:color w:val="0F4761" w:themeColor="accent1" w:themeShade="BF"/>
        </w:rPr>
        <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continuera de payer Cameco pour entreprendre des activités de restauration du site minier, régler les frais réglementaires et verser des prestations aux employés retraités. Les coûts de restauration du site devraient être réglés en 2024, ce qui fait que les coûts projetés pour 2025 seront de 0 $ et de 2,2 millions $ pour l’ensemble de la période de planification 2025-2029, environ 2 millions $ étant prévus pour être réglés en 2024, le reste étant lié à des obligations de retraite et non à la restauration. CEI devrait disposer en moyenne de 8 millions $ d’actifs pendant toute la période de planification pour couvrir tous les coûts prévus. Nous n’anticipons pas actuellement de coûts supplémentaires importants après 2024.</w:t>
      </w:r>
      <w:r>
        <w:t xml:space="preserve"/>
      </w:r>
      <w:r w:rsidR="0F2593FF">
        <w:t/>
      </w:r>
      <w:r w:rsidRPr="00CA5162">
        <w:t xml:space="preserve"/>
      </w:r>
      <w:r w:rsidR="003B6799">
        <w:t/>
      </w:r>
      <w:r w:rsidRPr="00CA5162">
        <w:t xml:space="preserve"/>
      </w:r>
      <w:r w:rsidR="29686311">
        <w:t/>
      </w:r>
      <w:r w:rsidRPr="00CA5162">
        <w:t xml:space="preserve"/>
      </w:r>
      <w:r w:rsidR="000262BB">
        <w:t/>
      </w:r>
      <w:r w:rsidR="0027682E" w:rsidRPr="00CA5162">
        <w:t xml:space="preserve"/>
      </w:r>
      <w:r w:rsidRPr="00CA5162">
        <w:t/>
      </w:r>
      <w:r w:rsidR="00BA4614">
        <w:t/>
      </w:r>
      <w:r w:rsidRPr="00CA5162">
        <w:t xml:space="preserve"/>
      </w:r>
      <w:r w:rsidR="00BA4614">
        <w:t/>
      </w:r>
      <w:r w:rsidR="000262BB">
        <w:t xml:space="preserve"/>
      </w:r>
      <w:r w:rsidR="00971893">
        <w:t xml:space="preserve"/>
      </w:r>
      <w:r w:rsidR="00A12D60">
        <w:t xml:space="preserve"/>
      </w:r>
      <w:r w:rsidR="008D5E58">
        <w:t/>
      </w:r>
      <w:r w:rsidR="000768C2">
        <w:t xml:space="preserve"/>
      </w:r>
      <w:r w:rsidRPr="00CA5162">
        <w:t xml:space="preserve"/>
      </w:r>
      <w:r w:rsidR="007C6BF7">
        <w:t/>
      </w:r>
      <w:r w:rsidR="007224C3">
        <w:t xml:space="preserve"/>
      </w:r>
      <w:r w:rsidR="007C6BF7">
        <w:t xml:space="preserve"/>
      </w:r>
      <w:r w:rsidRPr="00CA5162">
        <w:t/>
      </w:r>
      <w:r w:rsidR="007C6BF7">
        <w:t/>
      </w:r>
      <w:r w:rsidR="007C6BF7" w:rsidRPr="00CA5162">
        <w:t xml:space="preserve"/>
      </w:r>
      <w:r w:rsidRPr="00CA5162">
        <w:t xml:space="preserve"/>
      </w:r>
      <w:r w:rsidR="007224C3">
        <w:t xml:space="preserve"/>
      </w:r>
      <w:r w:rsidRPr="00CA5162">
        <w:t xml:space="preserve"/>
      </w:r>
      <w:r w:rsidR="007224C3">
        <w:t/>
      </w:r>
      <w:r w:rsidR="007224C3" w:rsidRPr="00CA5162">
        <w:t xml:space="preserve"/>
      </w:r>
      <w:r w:rsidRPr="00CA5162">
        <w:t xml:space="preserve"/>
      </w:r>
      <w:r w:rsidR="00C84716">
        <w:t/>
      </w:r>
      <w:r w:rsidR="007224C3">
        <w:t xml:space="preserve"/>
      </w:r>
      <w:r w:rsidR="00C84716">
        <w:t/>
      </w:r>
      <w:r w:rsidR="007224C3">
        <w:t xml:space="preserve"/>
      </w:r>
      <w:r w:rsidR="000722BE">
        <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Société de Financement pour les Situations d’Urgence des Entreprises du Canada</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Le mandat initial de la CEEFC était de fournir des financements aux grandes entreprises canadiennes incapables d’assurer un financement supplémentaire sur les marchés financiers en raison de la situation de risque de crédit élevée. Tel que dirigé par le ministre des Finances, la CEEFC n’accepte plus de nouvelles demandes depuis juillet 2022 et se concentre désormais sur la gestion de son portefeuille de prêts existants (voir annexe B). Le portefeuille de la CEEFC est composé de quatre emprunteurs, tous des compagnies aériennes canadiennes. Conformément aux exigences des IFRS, les résultats financiers de la CEEFC ne sont pas consolidés avec ceux de la CDEV et, par conséquent, les tableaux financiers attachés n’incluent pas ceux de la CEEFC.</w:t>
      </w:r>
      <w:r>
        <w:t/>
      </w:r>
      <w:r w:rsidRPr="00A81E80">
        <w:t xml:space="preserve"/>
      </w:r>
      <w:r>
        <w:t xml:space="preserve"/>
      </w:r>
      <w:r w:rsidRPr="00A81E80">
        <w:t/>
      </w:r>
      <w:r>
        <w:t xml:space="preserve"/>
      </w:r>
      <w:r w:rsidRPr="00A81E80">
        <w:t/>
      </w:r>
      <w:r>
        <w:t/>
      </w:r>
      <w:r w:rsidRPr="00A81E80">
        <w:t xml:space="preserve"/>
      </w:r>
      <w:r>
        <w:t xml:space="preserve"/>
      </w:r>
      <w:r w:rsidRPr="00A81E80">
        <w:t xml:space="preserve"/>
      </w:r>
      <w:r>
        <w:t xml:space="preserve"/>
      </w:r>
      <w:r w:rsidRPr="00A81E80">
        <w:t/>
      </w:r>
      <w:r w:rsidRPr="00713787">
        <w:t xml:space="preserve"/>
      </w:r>
      <w:r w:rsidR="00713787" w:rsidRPr="00713787">
        <w:t/>
      </w:r>
      <w:r w:rsidRPr="00713787">
        <w:t/>
      </w:r>
      <w:r w:rsidRPr="00A81E80">
        <w:t xml:space="preserve"/>
      </w:r>
      <w:r>
        <w:t/>
      </w:r>
      <w:r w:rsidRPr="00A81E80">
        <w:t/>
      </w:r>
      <w:r>
        <w:t/>
      </w:r>
      <w:r w:rsidRPr="00A81E80">
        <w:t xml:space="preserve"/>
      </w:r>
      <w:r>
        <w:t/>
      </w:r>
      <w:r w:rsidRPr="00A81E80">
        <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projections financières de la CEEFC sont fournies à l’annexe B et ne sont pas consolidées avec les tableaux financiers de la CDEV. Ces projections reposent sur l’hypothèse que le portefeuille existant se terminera en 2028, lorsqu’arrivera à maturité le dernier prêt lié à un bon de compagnie aérienne, et que le calendrier de remboursement respectera les termes des contrats de prêt. Nous notons qu’actuellement aucun prêt n’est en défaut et qu’aucune perte sur prêts n’a été enregistrée.</w:t>
      </w:r>
      <w:r w:rsidR="00D63559">
        <w:t/>
      </w:r>
      <w:r w:rsidRPr="00A81E80">
        <w:t xml:space="preserve"/>
      </w:r>
      <w:r w:rsidRPr="00713787">
        <w:t/>
      </w:r>
      <w:r w:rsidR="00713787" w:rsidRPr="00713787">
        <w:t xml:space="preserve"/>
      </w:r>
      <w:r w:rsidR="000627FA">
        <w:t xml:space="preserve"/>
      </w:r>
      <w:r w:rsidR="00FE4A9A">
        <w:t xml:space="preserve"/>
      </w:r>
      <w:r w:rsidR="00BF3731">
        <w:t xml:space="preserve"/>
      </w:r>
      <w:r w:rsidR="000627FA">
        <w:t xml:space="preserve"/>
      </w:r>
      <w:r w:rsidR="00BF3731">
        <w:t xml:space="preserve"/>
      </w:r>
      <w:r w:rsidR="00C94487" w:rsidRPr="00C94487">
        <w:rPr>
          <w:rFonts w:cs="Arial"/>
        </w:rPr>
        <w:t xml:space="preserve"/>
      </w:r>
      <w:r w:rsidR="0027105C">
        <w:rPr>
          <w:rFonts w:cs="Arial"/>
        </w:rPr>
        <w:t/>
      </w:r>
      <w:r w:rsidR="009F1283">
        <w:rPr>
          <w:rFonts w:cs="Arial"/>
        </w:rPr>
        <w:t/>
      </w:r>
      <w:r w:rsidR="0027105C">
        <w:rPr>
          <w:rFonts w:cs="Arial"/>
        </w:rPr>
        <w:t xml:space="preserve"/>
      </w:r>
      <w:r w:rsidR="00C94487" w:rsidRPr="00C94487">
        <w:rPr>
          <w:rFonts w:cs="Arial"/>
        </w:rPr>
        <w:t/>
      </w:r>
      <w:r w:rsidR="0012401B">
        <w:rPr>
          <w:rFonts w:cs="Arial"/>
        </w:rPr>
        <w:t/>
      </w:r>
      <w:r w:rsidR="009F1283">
        <w:rPr>
          <w:rFonts w:cs="Arial"/>
        </w:rPr>
        <w:t xml:space="preserve"/>
      </w:r>
      <w:r w:rsidR="00E817AB">
        <w:rPr>
          <w:rFonts w:cs="Arial"/>
        </w:rPr>
        <w:t xml:space="preserve"/>
      </w:r>
      <w:r w:rsidR="00DC0C66">
        <w:rPr>
          <w:rFonts w:cs="Arial"/>
        </w:rPr>
        <w:t/>
      </w:r>
      <w:r w:rsidR="00930189">
        <w:rPr>
          <w:rFonts w:cs="Arial"/>
        </w:rPr>
        <w:t xml:space="preserve"/>
      </w:r>
      <w:r w:rsidR="00DC0C66">
        <w:rPr>
          <w:rFonts w:cs="Arial"/>
        </w:rPr>
        <w:t xml:space="preserve"/>
      </w:r>
      <w:r w:rsidR="005E0A9A">
        <w:rPr>
          <w:rFonts w:cs="Arial"/>
        </w:rPr>
        <w:t/>
      </w:r>
      <w:r w:rsidR="00C94487" w:rsidRPr="00C94487">
        <w:rPr>
          <w:rFonts w:cs="Arial"/>
        </w:rPr>
        <w:t xml:space="preserve"/>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la CEEFC a accordé des prêts à sept emprunteurs, dont trois ont entièrement remboursé leurs prêts. La CEEFC possède le portefeuille de prêts suivant :</w:t>
      </w:r>
      <w:proofErr w:type="gramStart"/>
      <w:r w:rsidRPr="00BF20AA">
        <w:rPr>
          <w:rFonts w:asciiTheme="minorHAnsi" w:hAnsiTheme="minorHAnsi" w:cs="Arial"/>
        </w:rPr>
        <w:t/>
      </w:r>
      <w:proofErr w:type="gramEnd"/>
      <w:r w:rsidRPr="00BF20AA">
        <w:rPr>
          <w:rFonts w:asciiTheme="minorHAnsi" w:hAnsiTheme="minorHAnsi" w:cs="Arial"/>
        </w:rPr>
        <w:t xml:space="preserve"/>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4.3 Fonds de Croissance du Canada</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la création du CGF et la sélection de PSP Investments en tant que gestionnaire (agissant par l’intermédiaire de CGFIM), des progrès significatifs ont été réalisés, et le gestionnaire, CGFIM, s’est pleinement mobilisé avec plus de 1 100 rencontres avec des participants du marché et huit annonces d’investissement depuis octobre 2023. CGFIM continue à travailler sur son pipeline de possibilités d’investissement, à développer et à affiner sa stratégie d’investissement, ainsi qu’à renforcer ses compétences internes dans tous les secteurs prioritaires. En outre, il se concentre également sur le déploiement de sa stratégie de contrats carbone, conformément à l’annonce du gouvernement désignant le CGF comme l’entité fédérale principale chargée de l'émission des contrats carbone pour différence (« CCFD »), notamment en allouant, en priorité, jusqu’à 7 milliards $ de son capital actuel de 15 milliards $ pour émettre toutes formes de contrats pour différence et accords d’achat.</w:t>
      </w:r>
      <w:r w:rsidR="00253184">
        <w:t xml:space="preserve"/>
      </w:r>
      <w:r>
        <w:t/>
      </w:r>
      <w:r w:rsidR="00253184">
        <w:t/>
      </w:r>
      <w:r>
        <w:t xml:space="preserve"/>
      </w:r>
      <w:r w:rsidR="003073EE">
        <w:t xml:space="preserve"/>
      </w:r>
      <w:r>
        <w:t/>
      </w:r>
      <w:r w:rsidR="009559B3">
        <w:t xml:space="preserve"/>
      </w:r>
      <w:r>
        <w:t xml:space="preserve"/>
      </w:r>
      <w:r w:rsidR="009559B3">
        <w:t/>
      </w:r>
      <w:r>
        <w:t xml:space="preserve"/>
      </w:r>
      <w:r w:rsidR="00DB63D2">
        <w:t/>
      </w:r>
      <w:r w:rsidR="007951C4">
        <w:t xml:space="preserve"/>
      </w:r>
      <w:r>
        <w:t xml:space="preserve"/>
      </w:r>
      <w:r w:rsidR="0096435A">
        <w:t/>
      </w:r>
      <w:r>
        <w:t xml:space="preserve"/>
      </w:r>
      <w:r w:rsidR="0096435A">
        <w:t xml:space="preserve"/>
      </w:r>
      <w:r>
        <w:t xml:space="preserve"/>
      </w:r>
      <w:r w:rsidRPr="0071350D">
        <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Les projections financières du CGF sont fournies à l’annexe C et ne sont pas consolidées avec les tableaux financiers de la CDEV. Le CGF devrait engager plusieurs engagements financiers dans des projets, des entreprises ainsi que des gestionnaires de fonds externes, ce qui pourrait entraîner des déploiements immédiats de capital ou des déploiements progressifs, selon les termes négociés.</w:t>
      </w:r>
      <w:r>
        <w:t/>
      </w:r>
      <w:r w:rsidRPr="00A81E80">
        <w:t xml:space="preserve"/>
      </w:r>
      <w:r w:rsidRPr="00713787">
        <w:t/>
      </w:r>
      <w:r w:rsidR="00713787" w:rsidRPr="00713787">
        <w:t xml:space="preserve"/>
      </w:r>
      <w:r w:rsidRPr="00713787">
        <w:t xml:space="preserve"/>
      </w:r>
      <w:r>
        <w:t xml:space="preserve"/>
      </w:r>
      <w:r w:rsidR="003C4F08">
        <w:t xml:space="preserve"/>
      </w:r>
      <w:proofErr w:type="gramStart"/>
      <w:r w:rsidR="003C4F08">
        <w:t/>
      </w:r>
      <w:proofErr w:type="gramEnd"/>
      <w:r w:rsidR="003C4F08">
        <w:t xml:space="preserve"/>
      </w:r>
      <w:r w:rsidR="00DC2F9E">
        <w:t/>
      </w:r>
      <w:r w:rsidR="003C4F08">
        <w:t xml:space="preserve"/>
      </w:r>
      <w:r w:rsidR="00DC2F9E">
        <w:t/>
      </w:r>
      <w:r w:rsidR="003C4F08">
        <w:t xml:space="preserve"/>
      </w:r>
      <w:r w:rsidR="00DC2F9E">
        <w:t/>
      </w:r>
      <w:r w:rsidR="003C4F08">
        <w:t/>
      </w:r>
      <w:r w:rsidR="00CF09E3">
        <w:t xml:space="preserve"/>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Comme indiqué dans la section Aperçu de ce plan d’entreprise, la CDEV et le CGF ont conclu un IMA avec PSP Investments et sa filiale CGFIM, afin que CGFIM fournisse une gamme complète de services de gestion d’investissements au CGF. Il est important de noter que l’IMA prévoit que le CGF rembourse à CGFIM tous les coûts qu’il engage pour fournir ces services de gestion d’investissement et que ces coûts, ainsi que le capital requis pour financer les investissements eux-mêmes, devraient être payés à partir du financement total de 15 milliards $ du CGF et non à partir des fonds ou des actifs de PSP Investments.</w:t>
      </w:r>
      <w:r w:rsidR="003021F8">
        <w:t/>
      </w:r>
      <w:r>
        <w:t xml:space="preserve"/>
      </w:r>
      <w:r w:rsidR="003021F8">
        <w:t xml:space="preserve"/>
      </w:r>
      <w:r w:rsidR="003021F8" w:rsidRPr="00CE78A8">
        <w:t xml:space="preserve"/>
      </w:r>
      <w:proofErr w:type="gramStart"/>
      <w:r w:rsidR="003021F8" w:rsidRPr="00CE78A8">
        <w:t/>
      </w:r>
      <w:proofErr w:type="gramEnd"/>
      <w:r w:rsidR="003021F8" w:rsidRPr="00CE78A8">
        <w:t xml:space="preserve"/>
      </w:r>
      <w:r w:rsidR="001B4C1E">
        <w:t/>
      </w:r>
      <w:r w:rsidR="003021F8" w:rsidRPr="00CE78A8">
        <w:t xml:space="preserve"/>
      </w:r>
      <w:r w:rsidR="001B4C1E">
        <w:t xml:space="preserve"/>
      </w:r>
      <w:r w:rsidR="005B0A42">
        <w:t xml:space="preserve"/>
      </w:r>
      <w:r>
        <w:t xml:space="preserve"/>
      </w:r>
      <w:r w:rsidR="005B0A42">
        <w:t/>
      </w:r>
      <w:r>
        <w:t xml:space="preserve"/>
      </w:r>
      <w:r w:rsidR="00453E9B">
        <w:t/>
      </w:r>
      <w:r>
        <w:t/>
      </w:r>
      <w:r w:rsidR="0096733B">
        <w:t xml:space="preserve"/>
      </w:r>
      <w:r w:rsidR="00B377AF">
        <w:t/>
      </w:r>
      <w:r w:rsidR="004870A8">
        <w:t xml:space="preserve"/>
      </w:r>
      <w:r w:rsidR="00AF70BD">
        <w:t xml:space="preserve"/>
      </w:r>
      <w:r w:rsidR="004870A8">
        <w:t/>
      </w:r>
      <w:r w:rsidR="00B377AF">
        <w:t xml:space="preserve"/>
      </w:r>
      <w:r w:rsidR="004870A8">
        <w:t xml:space="preserve"/>
      </w:r>
      <w:r w:rsidR="00972A7D">
        <w:t/>
      </w:r>
      <w:r w:rsidR="004870A8">
        <w:t xml:space="preserve"/>
      </w:r>
      <w:r w:rsidR="001F6554">
        <w:t xml:space="preserve"/>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Voir le plan d’entreprise du CGF pour des détails sur les hypothèses du gestionnaire d’investissements, l’environnement opérationnel et les projections.</w:t>
      </w:r>
      <w:r w:rsidR="001124EB">
        <w:t xml:space="preserve"/>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La CDEV continuera d’apporter le soutien et la supervision nécessaires pour assurer le succès du CGF. Plus particulièrement, la CDEV se concentre sur la mise en place d’une gouvernance appropriée et collabore avec le ministère des Finances pour assurer la nomination de membres supplémentaires au conseil d’administration du CGF.</w:t>
      </w:r>
      <w:r w:rsidR="00E76FE2">
        <w:t xml:space="preserve"/>
      </w:r>
      <w:r w:rsidR="00DB5D1E">
        <w:t xml:space="preserve"/>
      </w:r>
      <w:r w:rsidR="00E76FE2">
        <w:t xml:space="preserve"/>
      </w:r>
      <w:r w:rsidR="0050192B">
        <w:t/>
      </w:r>
      <w:r w:rsidR="00BE6CD1">
        <w:t xml:space="preserve"/>
      </w:r>
      <w:r w:rsidR="004F661C">
        <w:t/>
      </w:r>
      <w:r w:rsidR="00F6096D">
        <w:t xml:space="preserve"/>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Société de Gestion de Hibernia Canada</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L’objectif principal de la CHHC est de gérer commercialement ses participations de 8,5 % et de 5,67 % dans le projet de développement Hibernia et l’unité d'extension sud d’Hibernia, respectivement, afin de maintenir l’actif dans un état de préparation si Canada décidait de céder cet actif.</w:t>
      </w:r>
      <w:r w:rsidRPr="0053138D">
        <w:t xml:space="preserve"/>
      </w:r>
      <w:r>
        <w:t xml:space="preserve"/>
      </w:r>
      <w:r w:rsidR="009F7EA3">
        <w:t xml:space="preserve"/>
      </w:r>
      <w:r w:rsidRPr="0053138D">
        <w:t xml:space="preserve"/>
      </w:r>
      <w:r w:rsidR="00AA5351">
        <w:t/>
      </w:r>
      <w:r w:rsidRPr="0053138D">
        <w:t xml:space="preserve"/>
      </w:r>
      <w:r w:rsidR="00AA5351">
        <w:t/>
      </w:r>
      <w:r w:rsidR="00EA2FC5">
        <w:t xml:space="preserve"/>
      </w:r>
      <w:r w:rsidRPr="0053138D">
        <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Les budgets d’exploitation et d’investissement de la CHHC sont financés par les flux de trésorerie générés en interne par ses opérations ; elle ne reçoit pas de fonds publics pour fonctionner. Le Plan d’Emprunt de la CHHC ne comprend que ses obligations de location. La CHHC n’a pas de baux d’envergure nécessitant une approbation ministérielle ; en conséquence, la CHHC ne sollicite pas une telle approbation.</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La principale source de revenus de la CHHC provient des recettes des ventes de pétrole brut issues de sa part dans la production pétrolière d’Hibernia. Les flux de trésorerie varient principalement en fonction des volumes de production d’Hibernia, des prix du pétrole brut et des dépenses en capital. La CHHC maintient un fonds opérationnel nécessaire pour répondre à son mandat sans financement supplémentaire du gouvernement, et les surplus de trésorerie du fonds opérationnel sont retournés à l’actionnaire, la CDEV, sous forme de dividendes.</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et objectifs prévus</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demeure un investissement fructueux pour le gouvernement du Canada. À la fin de 2024, la CHHC prévoit avoir versé des dividendes cumulés de 2,64 milliards de dollars, 367 millions de dollars en intérêts nets sur les profits fédéraux, ainsi que 789 millions de dollars en impôt fédéral sur le revenu.</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corporatif 2025-2029, la CHHC présente les prévisions suivantes concernant les dividendes :</w:t>
      </w:r>
      <w:r w:rsidR="0052684F">
        <w:rPr>
          <w:rFonts w:cs="Arial"/>
        </w:rPr>
        <w:t xml:space="preserve"/>
      </w:r>
      <w:r w:rsidR="004108A6">
        <w:rPr>
          <w:rFonts w:cs="Arial"/>
        </w:rPr>
        <w:t/>
      </w:r>
      <w:r w:rsidR="000333ED" w:rsidRPr="00CC406F">
        <w:rPr>
          <w:rFonts w:cs="Arial"/>
        </w:rPr>
        <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w:t>
            </w:r>
          </w:p>
        </w:tc>
        <w:tc>
          <w:tcPr>
            <w:tcW w:w="964" w:type="dxa"/>
          </w:tcPr>
          <w:p w14:paraId="0485A932" w14:textId="1AC012C5" w:rsidR="00C26414" w:rsidRPr="00B6619B" w:rsidRDefault="00C26414" w:rsidP="00E810A8">
            <w:pPr>
              <w:jc w:val="center"/>
              <w:rPr>
                <w:rFonts w:cs="Arial"/>
                <w:b/>
                <w:bCs/>
              </w:rPr>
            </w:pPr>
            <w:r w:rsidRPr="00B6619B">
              <w:rPr>
                <w:rFonts w:cs="Arial"/>
                <w:b/>
                <w:bCs/>
              </w:rPr>
              <w:t>Réel</w:t>
            </w:r>
          </w:p>
        </w:tc>
        <w:tc>
          <w:tcPr>
            <w:tcW w:w="964" w:type="dxa"/>
          </w:tcPr>
          <w:p w14:paraId="16B8888E" w14:textId="17D6DD01" w:rsidR="00C26414" w:rsidRPr="00B6619B" w:rsidRDefault="00C26414" w:rsidP="00E810A8">
            <w:pPr>
              <w:jc w:val="center"/>
              <w:rPr>
                <w:rFonts w:cs="Arial"/>
                <w:b/>
                <w:bCs/>
              </w:rPr>
            </w:pPr>
            <w:r w:rsidRPr="00B6619B">
              <w:rPr>
                <w:rFonts w:cs="Arial"/>
                <w:b/>
                <w:bCs/>
              </w:rPr>
              <w:t>2024</w:t>
            </w:r>
          </w:p>
        </w:tc>
        <w:tc>
          <w:tcPr>
            <w:tcW w:w="964" w:type="dxa"/>
          </w:tcPr>
          <w:p w14:paraId="405B7B90" w14:textId="5C286415" w:rsidR="00C26414" w:rsidRPr="00B6619B" w:rsidRDefault="00C26414" w:rsidP="00E810A8">
            <w:pPr>
              <w:jc w:val="center"/>
              <w:rPr>
                <w:rFonts w:cs="Arial"/>
                <w:b/>
                <w:bCs/>
              </w:rPr>
            </w:pPr>
            <w:r w:rsidRPr="00B6619B">
              <w:rPr>
                <w:rFonts w:cs="Arial"/>
                <w:b/>
                <w:bCs/>
              </w:rPr>
              <w:t>2025</w:t>
            </w:r>
          </w:p>
        </w:tc>
        <w:tc>
          <w:tcPr>
            <w:tcW w:w="965" w:type="dxa"/>
          </w:tcPr>
          <w:p w14:paraId="10A02433" w14:textId="0C57D5AE" w:rsidR="00C26414" w:rsidRPr="00B6619B" w:rsidRDefault="00C26414" w:rsidP="00E810A8">
            <w:pPr>
              <w:jc w:val="center"/>
              <w:rPr>
                <w:rFonts w:cs="Arial"/>
                <w:b/>
                <w:bCs/>
              </w:rPr>
            </w:pPr>
            <w:r w:rsidRPr="00B6619B">
              <w:rPr>
                <w:rFonts w:cs="Arial"/>
                <w:b/>
                <w:bCs/>
              </w:rPr>
              <w:t>2026</w:t>
            </w:r>
          </w:p>
        </w:tc>
        <w:tc>
          <w:tcPr>
            <w:tcW w:w="964" w:type="dxa"/>
          </w:tcPr>
          <w:p w14:paraId="6A9966AE" w14:textId="7ADAB64C" w:rsidR="00C26414" w:rsidRPr="00B6619B" w:rsidRDefault="00C26414" w:rsidP="00E810A8">
            <w:pPr>
              <w:jc w:val="center"/>
              <w:rPr>
                <w:rFonts w:cs="Arial"/>
                <w:b/>
                <w:bCs/>
              </w:rPr>
            </w:pPr>
            <w:r w:rsidRPr="00B6619B">
              <w:rPr>
                <w:rFonts w:cs="Arial"/>
                <w:b/>
                <w:bCs/>
              </w:rPr>
              <w:t>2027</w:t>
            </w:r>
          </w:p>
        </w:tc>
        <w:tc>
          <w:tcPr>
            <w:tcW w:w="964" w:type="dxa"/>
          </w:tcPr>
          <w:p w14:paraId="1A051D38" w14:textId="502BF569" w:rsidR="00C26414" w:rsidRPr="00B6619B" w:rsidRDefault="00C26414" w:rsidP="00E810A8">
            <w:pPr>
              <w:jc w:val="center"/>
              <w:rPr>
                <w:rFonts w:cs="Arial"/>
                <w:b/>
                <w:bCs/>
              </w:rPr>
            </w:pPr>
            <w:r w:rsidRPr="00B6619B">
              <w:rPr>
                <w:rFonts w:cs="Arial"/>
                <w:b/>
                <w:bCs/>
              </w:rPr>
              <w:t>2028</w:t>
            </w:r>
          </w:p>
        </w:tc>
        <w:tc>
          <w:tcPr>
            <w:tcW w:w="965" w:type="dxa"/>
          </w:tcPr>
          <w:p w14:paraId="513EB86C" w14:textId="67D16848" w:rsidR="00C26414" w:rsidRPr="00B6619B" w:rsidRDefault="00C26414" w:rsidP="00E810A8">
            <w:pPr>
              <w:jc w:val="center"/>
              <w:rPr>
                <w:rFonts w:cs="Arial"/>
                <w:b/>
                <w:bCs/>
              </w:rPr>
            </w:pPr>
            <w:r w:rsidRPr="00B6619B">
              <w:rPr>
                <w:rFonts w:cs="Arial"/>
                <w:b/>
                <w:bCs/>
              </w:rPr>
              <w:t>2029</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Dividendes annuels (en millions de dollars)</w:t>
            </w:r>
            <w:r w:rsidR="007757E7" w:rsidRPr="000B0B98">
              <w:rPr>
                <w:rFonts w:cs="Arial"/>
                <w:b/>
                <w:bCs/>
              </w:rPr>
              <w:t xml:space="preserve"/>
            </w:r>
            <w:r w:rsidRPr="000B0B98">
              <w:rPr>
                <w:rFonts w:cs="Arial"/>
                <w:b/>
                <w:bCs/>
              </w:rPr>
              <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w:t>
            </w:r>
          </w:p>
        </w:tc>
        <w:tc>
          <w:tcPr>
            <w:tcW w:w="964" w:type="dxa"/>
          </w:tcPr>
          <w:p w14:paraId="6627F1EC" w14:textId="22179A41" w:rsidR="00C26414" w:rsidRDefault="00347089" w:rsidP="00E810A8">
            <w:pPr>
              <w:jc w:val="right"/>
              <w:rPr>
                <w:rFonts w:cs="Arial"/>
              </w:rPr>
            </w:pPr>
            <w:r>
              <w:rPr>
                <w:rFonts w:cs="Arial"/>
              </w:rPr>
              <w:t>70 $</w:t>
            </w:r>
          </w:p>
        </w:tc>
        <w:tc>
          <w:tcPr>
            <w:tcW w:w="965" w:type="dxa"/>
          </w:tcPr>
          <w:p w14:paraId="2578CCF8" w14:textId="0DD33B57" w:rsidR="00C26414" w:rsidRDefault="00347089" w:rsidP="00E810A8">
            <w:pPr>
              <w:jc w:val="right"/>
              <w:rPr>
                <w:rFonts w:cs="Arial"/>
              </w:rPr>
            </w:pPr>
            <w:r>
              <w:rPr>
                <w:rFonts w:cs="Arial"/>
              </w:rPr>
              <w:t>71 $</w:t>
            </w:r>
          </w:p>
        </w:tc>
        <w:tc>
          <w:tcPr>
            <w:tcW w:w="964" w:type="dxa"/>
          </w:tcPr>
          <w:p w14:paraId="265BFE97" w14:textId="6B75D56E" w:rsidR="00C26414" w:rsidRDefault="00347089" w:rsidP="00E810A8">
            <w:pPr>
              <w:jc w:val="right"/>
              <w:rPr>
                <w:rFonts w:cs="Arial"/>
              </w:rPr>
            </w:pPr>
            <w:r>
              <w:rPr>
                <w:rFonts w:cs="Arial"/>
              </w:rPr>
              <w:t>88 $</w:t>
            </w:r>
          </w:p>
        </w:tc>
        <w:tc>
          <w:tcPr>
            <w:tcW w:w="964" w:type="dxa"/>
          </w:tcPr>
          <w:p w14:paraId="3242BF0C" w14:textId="32D90E8A" w:rsidR="00C26414" w:rsidRDefault="00347089" w:rsidP="00E810A8">
            <w:pPr>
              <w:jc w:val="right"/>
              <w:rPr>
                <w:rFonts w:cs="Arial"/>
              </w:rPr>
            </w:pPr>
            <w:r>
              <w:rPr>
                <w:rFonts w:cs="Arial"/>
              </w:rPr>
              <w:t>94 $</w:t>
            </w:r>
          </w:p>
        </w:tc>
        <w:tc>
          <w:tcPr>
            <w:tcW w:w="965" w:type="dxa"/>
          </w:tcPr>
          <w:p w14:paraId="45A8012E" w14:textId="68F3ADD9" w:rsidR="00C26414" w:rsidRDefault="00347089" w:rsidP="00E810A8">
            <w:pPr>
              <w:jc w:val="right"/>
              <w:rPr>
                <w:rFonts w:cs="Arial"/>
              </w:rPr>
            </w:pPr>
            <w:r>
              <w:rPr>
                <w:rFonts w:cs="Arial"/>
              </w:rPr>
              <w:t>95 $</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cumulatifs</w:t>
            </w:r>
          </w:p>
          <w:p w14:paraId="0F4E35B9" w14:textId="25A72387" w:rsidR="00C26414" w:rsidRPr="000B0B98" w:rsidRDefault="00C26414" w:rsidP="00BE73AF">
            <w:pPr>
              <w:rPr>
                <w:rFonts w:cs="Arial"/>
                <w:b/>
                <w:bCs/>
              </w:rPr>
            </w:pPr>
            <w:r w:rsidRPr="000B0B98">
              <w:rPr>
                <w:rFonts w:cs="Arial"/>
                <w:b/>
                <w:bCs/>
              </w:rPr>
              <w:t>(en milliards de dollars)</w:t>
            </w:r>
          </w:p>
        </w:tc>
        <w:tc>
          <w:tcPr>
            <w:tcW w:w="964" w:type="dxa"/>
          </w:tcPr>
          <w:p w14:paraId="466FAAB0" w14:textId="0A614E9B" w:rsidR="00C26414" w:rsidRDefault="00C26414" w:rsidP="00E810A8">
            <w:pPr>
              <w:jc w:val="right"/>
              <w:rPr>
                <w:rFonts w:cs="Arial"/>
              </w:rPr>
            </w:pPr>
            <w:r>
              <w:rPr>
                <w:rFonts w:cs="Arial"/>
              </w:rPr>
              <w:t>2,58 $</w:t>
            </w:r>
          </w:p>
        </w:tc>
        <w:tc>
          <w:tcPr>
            <w:tcW w:w="964" w:type="dxa"/>
          </w:tcPr>
          <w:p w14:paraId="44F3E96B" w14:textId="703C2CEB" w:rsidR="00C26414" w:rsidRDefault="00C26414" w:rsidP="00E810A8">
            <w:pPr>
              <w:jc w:val="right"/>
              <w:rPr>
                <w:rFonts w:cs="Arial"/>
              </w:rPr>
            </w:pPr>
            <w:r>
              <w:rPr>
                <w:rFonts w:cs="Arial"/>
              </w:rPr>
              <w:t>2,64 $</w:t>
            </w:r>
          </w:p>
        </w:tc>
        <w:tc>
          <w:tcPr>
            <w:tcW w:w="964" w:type="dxa"/>
          </w:tcPr>
          <w:p w14:paraId="5C4E92A6" w14:textId="76C0DD6E" w:rsidR="00C26414" w:rsidRDefault="00C26414" w:rsidP="00E810A8">
            <w:pPr>
              <w:jc w:val="right"/>
              <w:rPr>
                <w:rFonts w:cs="Arial"/>
              </w:rPr>
            </w:pPr>
            <w:r>
              <w:rPr>
                <w:rFonts w:cs="Arial"/>
              </w:rPr>
              <w:t>2,71 $</w:t>
            </w:r>
          </w:p>
        </w:tc>
        <w:tc>
          <w:tcPr>
            <w:tcW w:w="965" w:type="dxa"/>
          </w:tcPr>
          <w:p w14:paraId="4D5CCFE8" w14:textId="51C915BF" w:rsidR="00C26414" w:rsidRDefault="00C26414" w:rsidP="00E810A8">
            <w:pPr>
              <w:jc w:val="right"/>
              <w:rPr>
                <w:rFonts w:cs="Arial"/>
              </w:rPr>
            </w:pPr>
            <w:r>
              <w:rPr>
                <w:rFonts w:cs="Arial"/>
              </w:rPr>
              <w:t>2,78 $</w:t>
            </w:r>
          </w:p>
        </w:tc>
        <w:tc>
          <w:tcPr>
            <w:tcW w:w="964" w:type="dxa"/>
          </w:tcPr>
          <w:p w14:paraId="7CA0DCCE" w14:textId="43393F5E" w:rsidR="00C26414" w:rsidRDefault="00C26414" w:rsidP="00E810A8">
            <w:pPr>
              <w:jc w:val="right"/>
              <w:rPr>
                <w:rFonts w:cs="Arial"/>
              </w:rPr>
            </w:pPr>
            <w:r>
              <w:rPr>
                <w:rFonts w:cs="Arial"/>
              </w:rPr>
              <w:t>2,87 $</w:t>
            </w:r>
          </w:p>
        </w:tc>
        <w:tc>
          <w:tcPr>
            <w:tcW w:w="964" w:type="dxa"/>
          </w:tcPr>
          <w:p w14:paraId="4243CFC2" w14:textId="1EBE569C" w:rsidR="00C26414" w:rsidRDefault="00C26414" w:rsidP="00E810A8">
            <w:pPr>
              <w:jc w:val="right"/>
              <w:rPr>
                <w:rFonts w:cs="Arial"/>
              </w:rPr>
            </w:pPr>
            <w:r>
              <w:rPr>
                <w:rFonts w:cs="Arial"/>
              </w:rPr>
              <w:t>2,97 $</w:t>
            </w:r>
          </w:p>
        </w:tc>
        <w:tc>
          <w:tcPr>
            <w:tcW w:w="965" w:type="dxa"/>
          </w:tcPr>
          <w:p w14:paraId="3E86284F" w14:textId="3634F341" w:rsidR="00C26414" w:rsidRDefault="00C26414" w:rsidP="00E810A8">
            <w:pPr>
              <w:jc w:val="right"/>
              <w:rPr>
                <w:rFonts w:cs="Arial"/>
              </w:rPr>
            </w:pPr>
            <w:r>
              <w:rPr>
                <w:rFonts w:cs="Arial"/>
              </w:rPr>
              <w:t>3,06 $</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Affectations (entièrement remboursées en 2002) : 431 millions $</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Concernant les revenus tirés de la vente de pétrole brut, CHHC prévoit qu’ils augmenteront de 17 % pour atteindre 237 millions $ en 2024, contre 202 millions $ en 2023, en raison d’une hausse de 18 % des volumes de vente, aucun changement significatif ayant été constaté dans les prix réalisés du pétrole en dollars canadiens. En 2025, les revenus tirés de la vente de pétrole brut devraient demeurer à 237 millions $, inchangés par rapport à 2024, puisque les volumes de vente plus élevés (+8 %) compenseraient la baisse des prix réalisés (-7 %). Pour la période 2026-2029, les revenus tirés de la vente de pétrole brut devraient osciller entre 225 millions $ et 311 millions $, selon les variations des volumes de vente, alors que la prévision des prix du pétrole demeure stable.</w:t>
      </w:r>
      <w:r w:rsidR="00864E88" w:rsidRPr="003A20D6">
        <w:t/>
      </w:r>
      <w:r>
        <w:t/>
      </w:r>
      <w:r w:rsidR="00864E88" w:rsidRPr="003A20D6">
        <w:t xml:space="preserve"/>
      </w:r>
      <w:r w:rsidR="003A20D6" w:rsidRPr="003A20D6">
        <w:t xml:space="preserve"/>
      </w:r>
      <w:r w:rsidR="00864E88" w:rsidRPr="003A20D6">
        <w:t/>
      </w:r>
      <w:r w:rsidR="003A20D6" w:rsidRPr="003A20D6">
        <w:t xml:space="preserve"/>
      </w:r>
      <w:r w:rsidR="00864E88" w:rsidRPr="003A20D6">
        <w:t/>
      </w:r>
      <w:r w:rsidR="004A0A0A">
        <w:t/>
      </w:r>
      <w:r w:rsidR="00864E88" w:rsidRPr="003A20D6">
        <w:t xml:space="preserve"/>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CDEV continue de veiller à la préparation de CHHC en cas de décision de procéder à une cession.</w:t>
      </w:r>
      <w:r w:rsidR="00F54B90">
        <w:t/>
      </w:r>
      <w:r w:rsidRPr="003A20D6">
        <w:t xml:space="preserve"/>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Voir l'annexe D pour plus de détails concernant le plan d’entreprise de CHHC.</w:t>
      </w:r>
      <w:r w:rsidR="002913EA">
        <w:t/>
      </w:r>
      <w:r w:rsidRPr="003A20D6">
        <w:t xml:space="preserve"/>
      </w:r>
      <w:r w:rsidR="000D299E">
        <w:t/>
      </w:r>
      <w:r w:rsidRPr="003A20D6">
        <w:t xml:space="preserve"/>
      </w:r>
    </w:p>
    <w:p w14:paraId="7D9C7A4A" w14:textId="51F0403F" w:rsidR="00783F3C" w:rsidRDefault="005B399B" w:rsidP="005B399B">
      <w:pPr>
        <w:pStyle w:val="Heading2"/>
      </w:pPr>
      <w:bookmarkStart w:id="24" w:name="_Toc187780197"/>
      <w:r>
        <w:t xml:space="preserve">4.5 Société canadienne de garantie de prêt pour les Autochtones</w:t>
      </w:r>
      <w:r w:rsidR="00644A5C">
        <w:t xml:space="preserve"/>
      </w:r>
      <w:r w:rsidR="00783F3C">
        <w:t xml:space="preserve"/>
      </w:r>
      <w:r w:rsidR="00644A5C">
        <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2024 a signalé l’engagement du Gouvernement de consacrer 5 milliards $ au Programme de garantie de prêt pour les Autochtones (PGPA) et a chargé CDEV de mettre en place une nouvelle filiale pour administrer le PGPA. Ressources naturelles Canada aidera à déterminer l’admissibilité des demandeurs en vertu de l’article 35 pendant les deux premières années et fournira des analyses d’investissement et un financement de diligence raisonnable aux groupes autochtones admissibles.</w:t>
      </w:r>
      <w:r w:rsidR="000B0401">
        <w:t xml:space="preserve"/>
      </w:r>
      <w:r>
        <w:t xml:space="preserve"/>
      </w:r>
      <w:r w:rsidR="00EF6C43">
        <w:t/>
      </w:r>
      <w:r>
        <w:t xml:space="preserve"/>
      </w:r>
      <w:r w:rsidR="00264240">
        <w:t xml:space="preserve"/>
      </w:r>
      <w:r>
        <w:t xml:space="preserve"/>
      </w:r>
      <w:r w:rsidR="00B642AD">
        <w:t xml:space="preserve"/>
      </w:r>
      <w:r w:rsidR="001C224E">
        <w:t xml:space="preserve"/>
      </w:r>
      <w:r>
        <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a activement progressé dans l’élaboration du PGPA et la mise en place de la Société canadienne de garantie de prêt pour les Autochtones (SCGPA), qui administrera le programme avec le soutien du personnel central de CDEV. Les progrès essentiels incluent :</w:t>
      </w:r>
      <w:r>
        <w:t xml:space="preserve"/>
      </w:r>
      <w:r w:rsidR="00CB0C87">
        <w:t xml:space="preserve"/>
      </w:r>
      <w:r>
        <w:t xml:space="preserve"/>
      </w:r>
      <w:r w:rsidRPr="007114D6">
        <w:t/>
      </w:r>
      <w:r>
        <w:t xml:space="preserve"/>
      </w:r>
      <w:r w:rsidR="009E0FD4">
        <w:t xml:space="preserve"/>
      </w:r>
      <w:r w:rsidR="001E0262">
        <w:t xml:space="preserve"/>
      </w:r>
      <w:r w:rsidR="00543C04">
        <w:t/>
      </w:r>
      <w:r>
        <w:t xml:space="preserve"/>
      </w:r>
      <w:r w:rsidR="00597DE5">
        <w:t/>
      </w:r>
      <w:r>
        <w:t xml:space="preserve"/>
      </w:r>
      <w:r w:rsidRPr="007114D6">
        <w:t/>
      </w:r>
      <w:r w:rsidRPr="007114D6">
        <w:rPr>
          <w:rFonts w:ascii="Arial" w:hAnsi="Arial" w:cs="Arial"/>
        </w:rPr>
        <w:t/>
      </w:r>
    </w:p>
    <w:p w14:paraId="14A88271" w14:textId="33736577" w:rsidR="00783F3C" w:rsidRPr="007114D6" w:rsidRDefault="00783F3C" w:rsidP="00783F3C">
      <w:pPr>
        <w:numPr>
          <w:ilvl w:val="0"/>
          <w:numId w:val="7"/>
        </w:numPr>
        <w:spacing w:after="0" w:line="240" w:lineRule="auto"/>
      </w:pPr>
      <w:r w:rsidRPr="007114D6">
        <w:rPr>
          <w:b/>
          <w:bCs/>
        </w:rPr>
        <w:t xml:space="preserve">Recrutement </w:t>
      </w:r>
      <w:r w:rsidRPr="007114D6">
        <w:t xml:space="preserve">: le processus de recrutement du président, du PDG et des membres du conseil a débuté avec une entreprise de recrutement dirigée par des Autochtones. Ce processus sera mené en collaboration avec le bureau de la vice-première ministre, qui sera consulté sur les nominations.</w:t>
      </w:r>
      <w:r>
        <w:t/>
      </w:r>
      <w:r w:rsidR="001E6D61">
        <w:t/>
      </w:r>
      <w:r>
        <w:t xml:space="preserve"/>
      </w:r>
      <w:r w:rsidRPr="007114D6">
        <w:t xml:space="preserve"/>
      </w:r>
      <w:r>
        <w:t xml:space="preserve"/>
      </w:r>
      <w:r w:rsidRPr="007114D6">
        <w:t xml:space="preserve"/>
      </w:r>
      <w:r>
        <w:t/>
      </w:r>
      <w:r w:rsidRPr="007114D6">
        <w:t/>
      </w:r>
      <w:r>
        <w:t xml:space="preserve"/>
      </w:r>
      <w:r w:rsidRPr="007114D6">
        <w:t/>
      </w:r>
      <w:r>
        <w:t/>
      </w:r>
      <w:r w:rsidRPr="007114D6">
        <w:t xml:space="preserve"/>
      </w:r>
      <w:r>
        <w:t xml:space="preserve"/>
      </w:r>
    </w:p>
    <w:p w14:paraId="1FA0E200" w14:textId="5EF9284D" w:rsidR="00783F3C" w:rsidRPr="007114D6" w:rsidRDefault="00783F3C" w:rsidP="00783F3C">
      <w:pPr>
        <w:numPr>
          <w:ilvl w:val="0"/>
          <w:numId w:val="7"/>
        </w:numPr>
        <w:spacing w:after="0" w:line="240" w:lineRule="auto"/>
      </w:pPr>
      <w:r w:rsidRPr="007114D6">
        <w:rPr>
          <w:b/>
          <w:bCs/>
        </w:rPr>
        <w:t>Mise en place de la filiale</w:t>
      </w:r>
      <w:r w:rsidRPr="007114D6">
        <w:t xml:space="preserve"> : CDEV participe activement aux activités de mise en place et a retenu des conseils dans divers domaines, notamment la gestion de projet ; les politiques ; les procédures ; les termes et conditions ; la perspective spécifique aux Autochtones ; et le matériel et les technologies informatiques.</w:t>
      </w:r>
      <w:r>
        <w:t xml:space="preserve"/>
      </w:r>
      <w:r w:rsidR="00A222CC">
        <w:t xml:space="preserve"/>
      </w:r>
      <w:r w:rsidR="0034627B">
        <w:t/>
      </w:r>
      <w:r w:rsidR="00A222CC">
        <w:t xml:space="preserve"/>
      </w:r>
      <w:r>
        <w:t xml:space="preserve"/>
      </w:r>
      <w:r w:rsidRPr="007114D6">
        <w:t xml:space="preserve"/>
      </w:r>
      <w:r w:rsidR="002B0140">
        <w:t/>
      </w:r>
      <w:r w:rsidRPr="007114D6">
        <w:t xml:space="preserve"/>
      </w:r>
    </w:p>
    <w:p w14:paraId="7A0ACF45" w14:textId="28F8DEF6" w:rsidR="00783F3C" w:rsidRPr="007114D6" w:rsidRDefault="00783F3C" w:rsidP="00783F3C">
      <w:pPr>
        <w:numPr>
          <w:ilvl w:val="0"/>
          <w:numId w:val="7"/>
        </w:numPr>
        <w:spacing w:after="0" w:line="240" w:lineRule="auto"/>
      </w:pPr>
      <w:r w:rsidRPr="007114D6">
        <w:rPr>
          <w:b/>
          <w:bCs/>
        </w:rPr>
        <w:t xml:space="preserve">Communications : CDEV </w:t>
      </w:r>
      <w:r w:rsidRPr="00A101A4">
        <w:t>a engagé une</w:t>
      </w:r>
      <w:r>
        <w:rPr>
          <w:b/>
          <w:bCs/>
        </w:rPr>
        <w:t xml:space="preserve"> </w:t>
      </w:r>
      <w:r>
        <w:t xml:space="preserve">entreprise de communications autochtone pour se concentrer sur la stratégie de marque, le développement du site Web et le soutien en matière de communications.</w:t>
      </w:r>
      <w:r w:rsidRPr="007114D6">
        <w:t/>
      </w:r>
      <w:r>
        <w:t/>
      </w:r>
      <w:r w:rsidRPr="007114D6">
        <w:t xml:space="preserve"/>
      </w:r>
      <w:r>
        <w:t xml:space="preserve"/>
      </w:r>
      <w:r w:rsidRPr="007114D6">
        <w:t/>
      </w:r>
      <w:r w:rsidR="00C710AB">
        <w:t/>
      </w:r>
      <w:r w:rsidRPr="007114D6">
        <w:t xml:space="preserve"/>
      </w:r>
      <w:r w:rsidR="00C710AB">
        <w:t/>
      </w:r>
      <w:r w:rsidRPr="007114D6">
        <w:t xml:space="preserve"/>
      </w:r>
      <w:r w:rsidR="002172B5">
        <w:t/>
      </w:r>
      <w:r w:rsidRPr="007114D6">
        <w:t xml:space="preserve"/>
      </w:r>
      <w:r w:rsidRPr="007114D6">
        <w:rPr>
          <w:rFonts w:ascii="Arial" w:hAnsi="Arial" w:cs="Arial"/>
        </w:rPr>
        <w:t/>
      </w:r>
    </w:p>
    <w:p w14:paraId="0BBE8FE4" w14:textId="184976FE" w:rsidR="00783F3C" w:rsidRPr="007114D6" w:rsidRDefault="00783F3C" w:rsidP="00783F3C">
      <w:pPr>
        <w:numPr>
          <w:ilvl w:val="0"/>
          <w:numId w:val="7"/>
        </w:numPr>
        <w:spacing w:after="0" w:line="240" w:lineRule="auto"/>
      </w:pPr>
      <w:r w:rsidRPr="007114D6">
        <w:rPr>
          <w:b/>
          <w:bCs/>
        </w:rPr>
        <w:t xml:space="preserve">Engagement avec les agences provinciales : CDEV</w:t>
      </w:r>
      <w:r>
        <w:t xml:space="preserve"> engage activement le dialogue avec les programmes provinciaux de garantie de prêt pour tirer parti de leur expérience et mieux comprendre les opportunités de regroupement des garanties de prêt fédérales et provinciales.</w:t>
      </w:r>
      <w:r w:rsidRPr="007114D6">
        <w:t/>
      </w:r>
      <w:r>
        <w:t xml:space="preserve"/>
      </w:r>
      <w:r w:rsidRPr="007114D6">
        <w:t xml:space="preserve"/>
      </w:r>
      <w:r w:rsidR="00591864">
        <w:t/>
      </w:r>
      <w:r w:rsidRPr="007114D6">
        <w:t xml:space="preserve"/>
      </w:r>
      <w:r>
        <w:t xml:space="preserve"/>
      </w:r>
      <w:r w:rsidRPr="007114D6">
        <w:t xml:space="preserve"/>
      </w:r>
      <w:r w:rsidR="000A5843">
        <w:t/>
      </w:r>
      <w:r w:rsidRPr="007114D6">
        <w:t/>
      </w:r>
      <w:r w:rsidRPr="007114D6">
        <w:rPr>
          <w:rFonts w:ascii="Arial" w:hAnsi="Arial" w:cs="Arial"/>
        </w:rPr>
        <w:t/>
      </w:r>
    </w:p>
    <w:p w14:paraId="1E0176D3" w14:textId="762BB95E" w:rsidR="00167D82" w:rsidRDefault="009C3E67" w:rsidP="00783F3C">
      <w:pPr>
        <w:numPr>
          <w:ilvl w:val="0"/>
          <w:numId w:val="7"/>
        </w:numPr>
        <w:spacing w:after="0" w:line="240" w:lineRule="auto"/>
      </w:pPr>
      <w:r>
        <w:rPr>
          <w:b/>
          <w:bCs/>
        </w:rPr>
        <w:t>Engagement préliminaire et diligence raisonnable :</w:t>
      </w:r>
      <w:r>
        <w:t xml:space="preserve"> Conformément à une directive du Premier ministre en août 2024, CDEV a mené des consultations préliminaires auprès de demandeurs potentiels et avancé la diligence raisonnable sur un nombre limité de projets.</w:t>
      </w:r>
      <w:r w:rsidR="008178EB">
        <w:t xml:space="preserve"/>
      </w:r>
      <w:r w:rsidR="00877116">
        <w:t/>
      </w:r>
      <w:r w:rsidR="008178EB">
        <w:t xml:space="preserve"/>
      </w:r>
      <w:r w:rsidR="00877116">
        <w:t xml:space="preserve"/>
      </w:r>
      <w:r w:rsidR="00794F37">
        <w:t/>
      </w:r>
      <w:r w:rsidR="00877116">
        <w:t xml:space="preserve"/>
      </w:r>
      <w:r w:rsidR="00776239">
        <w:t/>
      </w:r>
      <w:r w:rsidR="00180CFD">
        <w:t/>
      </w:r>
      <w:r w:rsidR="00A3259D">
        <w:t xml:space="preserve"/>
      </w:r>
      <w:r w:rsidR="00AC1EAB">
        <w:t xml:space="preserve"/>
      </w:r>
      <w:r w:rsidR="00F12601">
        <w:t/>
      </w:r>
      <w:r w:rsidR="00794F37">
        <w:t xml:space="preserve"/>
      </w:r>
    </w:p>
    <w:p w14:paraId="4D17B3D4" w14:textId="52063BCF" w:rsidR="00430DED" w:rsidRDefault="00430DED" w:rsidP="00783F3C">
      <w:pPr>
        <w:numPr>
          <w:ilvl w:val="0"/>
          <w:numId w:val="7"/>
        </w:numPr>
        <w:spacing w:after="0" w:line="240" w:lineRule="auto"/>
      </w:pPr>
      <w:r>
        <w:rPr>
          <w:b/>
          <w:bCs/>
        </w:rPr>
        <w:t xml:space="preserve">Termes et conditions : </w:t>
      </w:r>
      <w:r>
        <w:t xml:space="preserve">CDEV élabore les termes et conditions du programme et cherche à harmoniser ses termes et conditions commerciales avec les programmes provinciaux de garantie de prêt afin de permettre leur regroupement avec les programmes provinciaux.</w:t>
      </w:r>
      <w:r w:rsidR="005E09CF">
        <w:t/>
      </w:r>
      <w:r w:rsidR="00BA3310">
        <w:t xml:space="preserve"/>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CDEV est de lancer cette nouvelle filiale à l'automne 2024, en supposant que les premières garanties de prêt seront émises en 2025.</w:t>
      </w:r>
      <w:r w:rsidR="00374CBD">
        <w:rPr>
          <w:rFonts w:asciiTheme="minorHAnsi" w:hAnsiTheme="minorHAnsi" w:cs="Arial"/>
        </w:rPr>
        <w:t xml:space="preserve"/>
      </w:r>
      <w:r w:rsidR="00104143">
        <w:rPr>
          <w:rFonts w:asciiTheme="minorHAnsi" w:hAnsiTheme="minorHAnsi" w:cs="Arial"/>
        </w:rPr>
        <w:t/>
      </w:r>
      <w:r>
        <w:rPr>
          <w:rFonts w:asciiTheme="minorHAnsi" w:hAnsiTheme="minorHAnsi" w:cs="Arial"/>
        </w:rPr>
        <w:t xml:space="preserve"/>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 de l'empilement de garanties avec les programmes provinciaux, CILGC considérera (tant pour la détermination de la valeur nominale que pour l'impact fiscal de la provision pour pertes sur prêts des garanties émises) uniquement les montants non indemnisés par les partenaires provinciaux d'empilement. Par exemple :</w:t>
      </w:r>
      <w:r w:rsidR="00116967">
        <w:rPr>
          <w:rFonts w:asciiTheme="minorHAnsi" w:hAnsiTheme="minorHAnsi" w:cs="Arial"/>
        </w:rPr>
        <w:t/>
      </w:r>
      <w:r>
        <w:rPr>
          <w:rFonts w:asciiTheme="minorHAnsi" w:hAnsiTheme="minorHAnsi" w:cs="Arial"/>
        </w:rPr>
        <w:t xml:space="preserve"/>
      </w:r>
      <w:r w:rsidR="00EB2F56">
        <w:rPr>
          <w:rFonts w:asciiTheme="minorHAnsi" w:hAnsiTheme="minorHAnsi" w:cs="Arial"/>
        </w:rPr>
        <w:t/>
      </w:r>
      <w:r>
        <w:rPr>
          <w:rFonts w:asciiTheme="minorHAnsi" w:hAnsiTheme="minorHAnsi" w:cs="Arial"/>
        </w:rPr>
        <w:t xml:space="preserve"/>
      </w:r>
      <w:r w:rsidR="00E41F98">
        <w:rPr>
          <w:rFonts w:asciiTheme="minorHAnsi" w:hAnsiTheme="minorHAnsi" w:cs="Arial"/>
        </w:rPr>
        <w:t/>
      </w:r>
      <w:r>
        <w:rPr>
          <w:rFonts w:asciiTheme="minorHAnsi" w:hAnsiTheme="minorHAnsi" w:cs="Arial"/>
        </w:rPr>
        <w:t xml:space="preserve"/>
      </w:r>
      <w:r w:rsidR="00116967">
        <w:rPr>
          <w:rFonts w:asciiTheme="minorHAnsi" w:hAnsiTheme="minorHAnsi" w:cs="Arial"/>
        </w:rPr>
        <w:t/>
      </w:r>
      <w:r>
        <w:rPr>
          <w:rFonts w:asciiTheme="minorHAnsi" w:hAnsiTheme="minorHAnsi" w:cs="Arial"/>
        </w:rPr>
        <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émet une garantie de prêt de 1,3 milliard de dollars.</w:t>
      </w:r>
      <w:r w:rsidDel="00543C04">
        <w:rPr>
          <w:rFonts w:asciiTheme="minorHAnsi" w:hAnsiTheme="minorHAnsi" w:cs="Arial"/>
        </w:rPr>
        <w:t xml:space="preserve"/>
      </w:r>
      <w:r w:rsidR="00783F3C">
        <w:rPr>
          <w:rFonts w:asciiTheme="minorHAnsi" w:hAnsiTheme="minorHAnsi" w:cs="Arial"/>
        </w:rPr>
        <w:t xml:space="preserve"/>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négocie des garanties provinciales consécutives pour 500 millions de dollars, qui sont exécutées en même temps que l'émission de la garantie de 1,3 milliard de dollars.</w:t>
      </w:r>
      <w:r w:rsidDel="00543C04">
        <w:rPr>
          <w:rFonts w:asciiTheme="minorHAnsi" w:hAnsiTheme="minorHAnsi" w:cs="Arial"/>
        </w:rPr>
        <w:t xml:space="preserve"/>
      </w:r>
      <w:r w:rsidR="00783F3C">
        <w:rPr>
          <w:rFonts w:asciiTheme="minorHAnsi" w:hAnsiTheme="minorHAnsi" w:cs="Arial"/>
        </w:rPr>
        <w:t xml:space="preserve"/>
      </w:r>
      <w:r w:rsidR="00116967">
        <w:rPr>
          <w:rFonts w:asciiTheme="minorHAnsi" w:hAnsiTheme="minorHAnsi" w:cs="Arial"/>
        </w:rPr>
        <w:t/>
      </w:r>
      <w:r w:rsidR="00783F3C">
        <w:rPr>
          <w:rFonts w:asciiTheme="minorHAnsi" w:hAnsiTheme="minorHAnsi" w:cs="Arial"/>
        </w:rPr>
        <w:t/>
      </w:r>
      <w:r w:rsidR="00116967">
        <w:rPr>
          <w:rFonts w:asciiTheme="minorHAnsi" w:hAnsiTheme="minorHAnsi" w:cs="Arial"/>
        </w:rPr>
        <w:t/>
      </w:r>
      <w:r w:rsidR="00783F3C">
        <w:rPr>
          <w:rFonts w:asciiTheme="minorHAnsi" w:hAnsiTheme="minorHAnsi" w:cs="Arial"/>
        </w:rPr>
        <w:t xml:space="preserve"/>
      </w:r>
      <w:r w:rsidR="00EB2F56">
        <w:rPr>
          <w:rFonts w:asciiTheme="minorHAnsi" w:hAnsiTheme="minorHAnsi" w:cs="Arial"/>
        </w:rPr>
        <w:t/>
      </w:r>
      <w:r w:rsidR="00783F3C">
        <w:rPr>
          <w:rFonts w:asciiTheme="minorHAnsi" w:hAnsiTheme="minorHAnsi" w:cs="Arial"/>
        </w:rPr>
        <w:t xml:space="preserve"/>
      </w:r>
      <w:r w:rsidR="00116967">
        <w:rPr>
          <w:rFonts w:asciiTheme="minorHAnsi" w:hAnsiTheme="minorHAnsi" w:cs="Arial"/>
        </w:rPr>
        <w:t/>
      </w:r>
      <w:r w:rsidR="00783F3C">
        <w:rPr>
          <w:rFonts w:asciiTheme="minorHAnsi" w:hAnsiTheme="minorHAnsi" w:cs="Arial"/>
        </w:rPr>
        <w:t xml:space="preserve"/>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considère cette garantie comme utilisant seulement 800 millions de dollars (c’est-à-dire le montant non indemnisé) de son enveloppe de 5 milliards de dollars.</w:t>
      </w:r>
      <w:r w:rsidDel="00543C04">
        <w:rPr>
          <w:rFonts w:asciiTheme="minorHAnsi" w:hAnsiTheme="minorHAnsi" w:cs="Arial"/>
        </w:rPr>
        <w:t xml:space="preserve"/>
      </w:r>
      <w:r w:rsidR="00783F3C">
        <w:rPr>
          <w:rFonts w:asciiTheme="minorHAnsi" w:hAnsiTheme="minorHAnsi" w:cs="Arial"/>
        </w:rPr>
        <w:t xml:space="preserve"/>
      </w:r>
      <w:r w:rsidR="00116967">
        <w:rPr>
          <w:rFonts w:asciiTheme="minorHAnsi" w:hAnsiTheme="minorHAnsi" w:cs="Arial"/>
        </w:rPr>
        <w:t/>
      </w:r>
      <w:r w:rsidR="00944AED">
        <w:rPr>
          <w:rFonts w:asciiTheme="minorHAnsi" w:hAnsiTheme="minorHAnsi" w:cs="Arial"/>
        </w:rPr>
        <w:t/>
      </w:r>
      <w:r w:rsidR="00783F3C">
        <w:rPr>
          <w:rFonts w:asciiTheme="minorHAnsi" w:hAnsiTheme="minorHAnsi" w:cs="Arial"/>
        </w:rPr>
        <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Alors que CILGC exécute une garantie de 1,3 milliard de dollars, l'empilement consécutif avec les programmes provinciaux réduit l'exposition sur ces prêts pour rester dans la limite nominale unique de 1 milliard de dollars d'ILGP.</w:t>
      </w:r>
      <w:r w:rsidR="00543C04" w:rsidRPr="008D3175">
        <w:rPr>
          <w:rFonts w:asciiTheme="minorHAnsi" w:hAnsiTheme="minorHAnsi" w:cs="Arial"/>
        </w:rPr>
        <w:t/>
      </w:r>
      <w:r w:rsidR="00543C04" w:rsidDel="00543C04">
        <w:rPr>
          <w:rFonts w:asciiTheme="minorHAnsi" w:hAnsiTheme="minorHAnsi" w:cs="Arial"/>
        </w:rPr>
        <w:t xml:space="preserve"/>
      </w:r>
      <w:r>
        <w:rPr>
          <w:rFonts w:asciiTheme="minorHAnsi" w:hAnsiTheme="minorHAnsi" w:cs="Arial"/>
        </w:rPr>
        <w:t xml:space="preserve"/>
      </w:r>
      <w:r w:rsidR="00D11670">
        <w:rPr>
          <w:rFonts w:asciiTheme="minorHAnsi" w:hAnsiTheme="minorHAnsi" w:cs="Arial"/>
        </w:rPr>
        <w:t/>
      </w:r>
      <w:r>
        <w:rPr>
          <w:rFonts w:asciiTheme="minorHAnsi" w:hAnsiTheme="minorHAnsi" w:cs="Arial"/>
        </w:rPr>
        <w:t/>
      </w:r>
      <w:r w:rsidR="000B624B">
        <w:rPr>
          <w:rFonts w:asciiTheme="minorHAnsi" w:hAnsiTheme="minorHAnsi" w:cs="Arial"/>
        </w:rPr>
        <w:t xml:space="preserve"/>
      </w:r>
      <w:r>
        <w:rPr>
          <w:rFonts w:asciiTheme="minorHAnsi" w:hAnsiTheme="minorHAnsi" w:cs="Arial"/>
        </w:rPr>
        <w:t xml:space="preserve"/>
      </w:r>
      <w:r w:rsidR="000B624B">
        <w:rPr>
          <w:rFonts w:asciiTheme="minorHAnsi" w:hAnsiTheme="minorHAnsi" w:cs="Arial"/>
        </w:rPr>
        <w:t/>
      </w:r>
      <w:r>
        <w:rPr>
          <w:rFonts w:asciiTheme="minorHAnsi" w:hAnsiTheme="minorHAnsi" w:cs="Arial"/>
        </w:rPr>
        <w:t/>
      </w:r>
      <w:r w:rsidR="000B624B">
        <w:rPr>
          <w:rFonts w:asciiTheme="minorHAnsi" w:hAnsiTheme="minorHAnsi" w:cs="Arial"/>
        </w:rPr>
        <w:t/>
      </w:r>
      <w:r>
        <w:rPr>
          <w:rFonts w:asciiTheme="minorHAnsi" w:hAnsiTheme="minorHAnsi" w:cs="Arial"/>
        </w:rPr>
        <w:t xml:space="preserve"/>
      </w:r>
      <w:r w:rsidR="00AD14CF">
        <w:rPr>
          <w:rFonts w:asciiTheme="minorHAnsi" w:hAnsiTheme="minorHAnsi" w:cs="Arial"/>
        </w:rPr>
        <w:t xml:space="preserve"/>
      </w:r>
      <w:r>
        <w:rPr>
          <w:rFonts w:asciiTheme="minorHAnsi" w:hAnsiTheme="minorHAnsi" w:cs="Arial"/>
        </w:rPr>
        <w:t/>
      </w:r>
      <w:r w:rsidR="00503915">
        <w:rPr>
          <w:rFonts w:asciiTheme="minorHAnsi" w:hAnsiTheme="minorHAnsi" w:cs="Arial"/>
        </w:rPr>
        <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4.6 Société canadienne d’innovation</w:t>
      </w:r>
      <w:r w:rsidR="005B399B">
        <w:t/>
      </w:r>
      <w:r>
        <w:t xml:space="preserve"/>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Comme mentionné dans la section Aperçu, CDEV a établi la CIC en février 2023 et a soutenu une équipe intérimaire de la CIC axée sur le développement des capacités et processus internes de la Société, ce qui incluait :</w:t>
      </w:r>
      <w:r w:rsidR="00D40E75">
        <w:t xml:space="preserve"/>
      </w:r>
      <w:r w:rsidR="00FC2D13">
        <w:t/>
      </w:r>
      <w:r w:rsidR="00D3730F">
        <w:t/>
      </w:r>
      <w:r w:rsidR="00FC2D13">
        <w:t xml:space="preserve"/>
      </w:r>
      <w:r w:rsidR="00EE4A31">
        <w:t xml:space="preserve"/>
      </w:r>
      <w:r w:rsidR="00FC2D13">
        <w:t xml:space="preserve"/>
      </w:r>
      <w:r>
        <w:t xml:space="preserve"/>
      </w:r>
      <w:r w:rsidR="00FC2D13">
        <w:t xml:space="preserve"/>
      </w:r>
      <w:r>
        <w:t xml:space="preserve"/>
      </w:r>
      <w:r w:rsidR="00286E69">
        <w:t xml:space="preserve"/>
      </w:r>
      <w:r>
        <w:t/>
      </w:r>
      <w:r w:rsidR="00286E69">
        <w:t/>
      </w:r>
      <w:r>
        <w:t xml:space="preserve"/>
      </w:r>
      <w:r w:rsidR="00B57EEC">
        <w:t/>
      </w:r>
      <w:r>
        <w:t/>
      </w:r>
      <w:r w:rsidRPr="14FDE292">
        <w:rPr>
          <w:rFonts w:cs="Aptos"/>
        </w:rPr>
        <w:t/>
      </w:r>
      <w:r>
        <w:t/>
      </w:r>
      <w:r w:rsidR="007C16F7">
        <w:t/>
      </w:r>
      <w:r w:rsidR="00881B88">
        <w:t/>
      </w:r>
      <w:r w:rsidR="004F214A">
        <w:t xml:space="preserve"/>
      </w:r>
    </w:p>
    <w:p w14:paraId="0D3AB706" w14:textId="292C6D4A" w:rsidR="00881B88" w:rsidRDefault="004F214A" w:rsidP="00CC2E3D">
      <w:pPr>
        <w:pStyle w:val="ListParagraph"/>
        <w:numPr>
          <w:ilvl w:val="0"/>
          <w:numId w:val="9"/>
        </w:numPr>
        <w:spacing w:after="0" w:line="240" w:lineRule="auto"/>
      </w:pPr>
      <w:r>
        <w:t>l'élaboration de projets de politiques et de directives du conseil,</w:t>
      </w:r>
      <w:r w:rsidR="00881B88">
        <w:t/>
      </w:r>
      <w:r>
        <w:t xml:space="preserve"/>
      </w:r>
      <w:r w:rsidR="0093123A">
        <w:t/>
      </w:r>
    </w:p>
    <w:p w14:paraId="15C5726E" w14:textId="18112C94" w:rsidR="00881B88" w:rsidRDefault="009E1256" w:rsidP="00CC2E3D">
      <w:pPr>
        <w:pStyle w:val="ListParagraph"/>
        <w:numPr>
          <w:ilvl w:val="0"/>
          <w:numId w:val="9"/>
        </w:numPr>
        <w:spacing w:after="0" w:line="240" w:lineRule="auto"/>
      </w:pPr>
      <w:r>
        <w:t>la préparation de demandes de propositions pour des acquisitions majeures en technologie d'information pour gérer ses opérations,</w:t>
      </w:r>
      <w:r w:rsidR="00881B88">
        <w:t/>
      </w:r>
      <w:r>
        <w:t xml:space="preserve"/>
      </w:r>
      <w:r w:rsidR="00BE059D">
        <w:t xml:space="preserve"/>
      </w:r>
      <w:r>
        <w:t/>
      </w:r>
      <w:r w:rsidR="00BE059D">
        <w:t/>
      </w:r>
      <w:r w:rsidR="00CF702E">
        <w:t xml:space="preserve"/>
      </w:r>
      <w:r w:rsidR="0093123A">
        <w:t/>
      </w:r>
      <w:r>
        <w:t xml:space="preserve"/>
      </w:r>
    </w:p>
    <w:p w14:paraId="1032E308" w14:textId="1252D2EC" w:rsidR="00881B88" w:rsidRDefault="005412CA" w:rsidP="00CC2E3D">
      <w:pPr>
        <w:pStyle w:val="ListParagraph"/>
        <w:numPr>
          <w:ilvl w:val="0"/>
          <w:numId w:val="9"/>
        </w:numPr>
        <w:spacing w:after="0" w:line="240" w:lineRule="auto"/>
      </w:pPr>
      <w:r>
        <w:t>une collaboration étroite avec le Conseil national de recherches concernant le transfert de près de 500 membres du personnel,</w:t>
      </w:r>
      <w:r w:rsidR="00881B88">
        <w:t/>
      </w:r>
      <w:r>
        <w:t xml:space="preserve"/>
      </w:r>
      <w:r w:rsidR="0093123A">
        <w:t/>
      </w:r>
    </w:p>
    <w:p w14:paraId="2B94C06F" w14:textId="61163B3D" w:rsidR="00881B88" w:rsidRDefault="00D65A13" w:rsidP="00CC2E3D">
      <w:pPr>
        <w:pStyle w:val="ListParagraph"/>
        <w:numPr>
          <w:ilvl w:val="0"/>
          <w:numId w:val="9"/>
        </w:numPr>
        <w:spacing w:after="0" w:line="240" w:lineRule="auto"/>
      </w:pPr>
      <w:r>
        <w:t>la conduite du processus visant le transfert des capacités professionnelles et corporatives à la CIC,</w:t>
      </w:r>
      <w:r w:rsidR="00881B88">
        <w:t/>
      </w:r>
      <w:r>
        <w:t/>
      </w:r>
      <w:r w:rsidR="00881B88">
        <w:t/>
      </w:r>
      <w:r>
        <w:t xml:space="preserve"/>
      </w:r>
      <w:r w:rsidR="00E41E77">
        <w:t xml:space="preserve"/>
      </w:r>
      <w:r w:rsidR="00926A4D">
        <w:t/>
      </w:r>
      <w:r w:rsidR="00E41E77">
        <w:t xml:space="preserve"/>
      </w:r>
      <w:r w:rsidR="002C0981">
        <w:t xml:space="preserve"/>
      </w:r>
      <w:r w:rsidR="00CD1DAD">
        <w:t xml:space="preserve"/>
      </w:r>
      <w:r w:rsidR="00EE4A31">
        <w:t xml:space="preserve"/>
      </w:r>
      <w:r w:rsidR="00CD1DAD">
        <w:t/>
      </w:r>
      <w:r w:rsidR="00EE4A31">
        <w:t/>
      </w:r>
    </w:p>
    <w:p w14:paraId="3067ADAC" w14:textId="7DC85A25" w:rsidR="007A4BAD" w:rsidRDefault="005412CA" w:rsidP="00CC2E3D">
      <w:pPr>
        <w:pStyle w:val="ListParagraph"/>
        <w:numPr>
          <w:ilvl w:val="0"/>
          <w:numId w:val="9"/>
        </w:numPr>
        <w:spacing w:after="0" w:line="240" w:lineRule="auto"/>
      </w:pPr>
      <w:r>
        <w:t>la direction des efforts de recrutement exécutif pour le premier président du conseil et PDG,</w:t>
      </w:r>
      <w:r w:rsidR="00881B88">
        <w:t/>
      </w:r>
      <w:r>
        <w:t/>
      </w:r>
      <w:r w:rsidR="00881B88">
        <w:t/>
      </w:r>
      <w:r>
        <w:t xml:space="preserve"/>
      </w:r>
      <w:r w:rsidR="000F5B0F">
        <w:t xml:space="preserve"/>
      </w:r>
      <w:r w:rsidR="004F11A1">
        <w:t/>
      </w:r>
    </w:p>
    <w:p w14:paraId="5BF8FE91" w14:textId="27F7C093" w:rsidR="007A4BAD" w:rsidRDefault="005412CA" w:rsidP="00CC2E3D">
      <w:pPr>
        <w:pStyle w:val="ListParagraph"/>
        <w:numPr>
          <w:ilvl w:val="0"/>
          <w:numId w:val="9"/>
        </w:numPr>
        <w:spacing w:after="0" w:line="240" w:lineRule="auto"/>
      </w:pPr>
      <w:r>
        <w:t>l'élaboration d'options de conception pour un programme de financement additionnel de 200 millions de dollars par année, et</w:t>
      </w:r>
      <w:r w:rsidR="007A4BAD">
        <w:t/>
      </w:r>
      <w:r>
        <w:t xml:space="preserve"/>
      </w:r>
      <w:r w:rsidR="00F829E3">
        <w:t xml:space="preserve"/>
      </w:r>
      <w:r w:rsidR="00376D7F">
        <w:t xml:space="preserve"/>
      </w:r>
      <w:r w:rsidR="00F829E3">
        <w:t xml:space="preserve"/>
      </w:r>
      <w:r w:rsidR="00376D7F">
        <w:t/>
      </w:r>
      <w:r w:rsidR="004F11A1">
        <w:t/>
      </w:r>
    </w:p>
    <w:p w14:paraId="04857681" w14:textId="20CFE876" w:rsidR="004F11A1" w:rsidRDefault="00376D7F" w:rsidP="00CC2E3D">
      <w:pPr>
        <w:pStyle w:val="ListParagraph"/>
        <w:numPr>
          <w:ilvl w:val="0"/>
          <w:numId w:val="9"/>
        </w:numPr>
        <w:spacing w:after="0" w:line="240" w:lineRule="auto"/>
      </w:pPr>
      <w:r>
        <w:t>des consultations avec des leaders de l'écosystème de l'innovation pour comprendre comment contribuer au mieux aux initiatives existantes.</w:t>
      </w:r>
      <w:r w:rsidR="007A4BAD">
        <w:t/>
      </w:r>
      <w:r>
        <w:t xml:space="preserve"/>
      </w:r>
      <w:r w:rsidR="005412CA">
        <w:t xml:space="preserve"/>
      </w:r>
      <w:r w:rsidR="007C2BD4">
        <w:t xml:space="preserve"/>
      </w:r>
      <w:r w:rsidR="00F72EC5">
        <w:t xml:space="preserve"/>
      </w:r>
      <w:r w:rsidR="004D3ADA">
        <w:t/>
      </w:r>
      <w:r w:rsidR="007C2BD4">
        <w:t xml:space="preserve"/>
      </w:r>
      <w:r w:rsidR="00F72EC5">
        <w:t/>
      </w:r>
      <w:r w:rsidR="004E7FC3">
        <w:t xml:space="preserve"/>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En décembre 2023, le gouvernement du Canada a annoncé que la mise en œuvre complète de cette nouvelle entité est prévue au plus tard pour 2026-2027. Par conséquent, les activités de la CIC ont été suspendues et l'équipe a été démantelée depuis lors. CDEV est en attente de nouvelles instructions pour reprendre les opérations de la filiale.</w:t>
      </w:r>
      <w:r w:rsidR="00176BEB">
        <w:t/>
      </w:r>
      <w:r>
        <w:t/>
      </w:r>
      <w:r w:rsidR="00CA267B">
        <w:t xml:space="preserve"/>
      </w:r>
      <w:r w:rsidR="000A0590">
        <w:t/>
      </w:r>
      <w:r w:rsidR="00CA267B">
        <w:t xml:space="preserve"/>
      </w:r>
      <w:r w:rsidR="00EE4A31">
        <w:t xml:space="preserve"/>
      </w:r>
      <w:r w:rsidR="00CA267B">
        <w:t/>
      </w:r>
      <w:r w:rsidR="00734E6A">
        <w:t xml:space="preserve"/>
      </w:r>
      <w:r w:rsidR="00B8131B">
        <w:t xml:space="preserve"/>
      </w:r>
      <w:r w:rsidR="00734E6A">
        <w:t xml:space="preserve"/>
      </w:r>
      <w:r w:rsidR="00F83621">
        <w:t xml:space="preserve"/>
      </w:r>
      <w:r w:rsidR="00734E6A">
        <w:t/>
      </w:r>
      <w:r w:rsidR="00EA7763">
        <w:t xml:space="preserve"/>
      </w:r>
      <w:r w:rsidR="00B8131B">
        <w:t/>
      </w:r>
      <w:r w:rsidR="00EA7763">
        <w:t xml:space="preserve"/>
      </w:r>
      <w:r w:rsidR="003D4929">
        <w:t xml:space="preserve"/>
      </w:r>
      <w:r w:rsidR="00F55679">
        <w:t/>
      </w:r>
      <w:r w:rsidR="00BC3375">
        <w:t xml:space="preserve"/>
      </w:r>
      <w:r w:rsidR="008960EE">
        <w:t xml:space="preserve"/>
      </w:r>
      <w:r w:rsidR="00544A7C">
        <w:t/>
      </w:r>
      <w:r w:rsidR="00F55679">
        <w:t/>
      </w:r>
      <w:r w:rsidR="008960EE">
        <w:t xml:space="preserve"/>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Résultats et objectifs prévus</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En juin 2024, le ministre d'ISDE a annoncé que Technologie de développement durable Canada (TDDC) serait intégré à la CIC une fois que le Conseil national de recherches aura complété son travail pour renforcer la gouvernance et les opérations de TDDC. L'annonce de juin 2024 n'a pas fourni de calendrier précis pour la transition de TDDC, mais a indiqué qu'elle pourrait avoir lieu dès 2026-2027.</w:t>
      </w:r>
      <w:r w:rsidR="00060BAE">
        <w:t xml:space="preserve"/>
      </w:r>
      <w:r w:rsidR="00F56A0A">
        <w:t/>
      </w:r>
      <w:r w:rsidR="00060BAE">
        <w:t xml:space="preserve"/>
      </w:r>
      <w:r>
        <w:t/>
      </w:r>
      <w:r w:rsidR="006A60F3">
        <w:t/>
      </w:r>
      <w:r>
        <w:t xml:space="preserve"/>
      </w:r>
      <w:r w:rsidR="00D45FA4">
        <w:t xml:space="preserve"/>
      </w:r>
      <w:r w:rsidR="009421E2">
        <w:t xml:space="preserve"/>
      </w:r>
      <w:r w:rsidR="000650CA">
        <w:t/>
      </w:r>
      <w:r w:rsidR="00075B79">
        <w:t xml:space="preserve"/>
      </w:r>
      <w:r w:rsidR="006A60F3">
        <w:t/>
      </w:r>
      <w:r w:rsidR="00075B79">
        <w:t xml:space="preserve"/>
      </w:r>
      <w:r w:rsidR="006F25BD">
        <w:t/>
      </w:r>
      <w:r w:rsidR="0015705B">
        <w:t xml:space="preserve"/>
      </w:r>
      <w:r w:rsidR="005E7385">
        <w:t/>
      </w:r>
      <w:r w:rsidR="0015705B">
        <w:t xml:space="preserve"/>
      </w:r>
      <w:r w:rsidR="00C8226D">
        <w:t xml:space="preserve"/>
      </w:r>
      <w:r w:rsidR="005C64EB">
        <w:t/>
      </w:r>
      <w:r w:rsidR="00C8226D">
        <w:t xml:space="preserve"/>
      </w:r>
      <w:r w:rsidR="005C64EB">
        <w:t/>
      </w:r>
      <w:r w:rsidR="00C8226D">
        <w:t xml:space="preserve"/>
      </w:r>
      <w:r w:rsidR="005C64EB">
        <w:t/>
      </w:r>
      <w:r w:rsidR="006A60F3">
        <w:t/>
      </w:r>
      <w:r w:rsidR="00C8226D">
        <w:t xml:space="preserve"/>
      </w:r>
      <w:r w:rsidR="002914C4">
        <w:t xml:space="preserve"/>
      </w:r>
      <w:r w:rsidR="005C64EB">
        <w:t xml:space="preserve"/>
      </w:r>
      <w:r w:rsidR="002914C4">
        <w:t xml:space="preserve"/>
      </w:r>
      <w:r w:rsidR="00D45FA4">
        <w:t xml:space="preserve"/>
      </w:r>
      <w:r w:rsidR="002914C4">
        <w:t xml:space="preserve"/>
      </w:r>
      <w:r w:rsidR="00D45FA4">
        <w:t/>
      </w:r>
      <w:r w:rsidR="005C64EB">
        <w:t xml:space="preserve"/>
      </w:r>
      <w:r w:rsidR="00FC70B8">
        <w:t/>
      </w:r>
      <w:r w:rsidR="005C64EB">
        <w:t/>
      </w:r>
      <w:r w:rsidR="00412F70">
        <w:t xml:space="preserve"/>
      </w:r>
      <w:r w:rsidR="00FC70B8">
        <w:t/>
      </w:r>
      <w:r w:rsidR="00D45FA4">
        <w:t xml:space="preserve"/>
      </w:r>
      <w:r w:rsidR="002914C4">
        <w:t xml:space="preserve"/>
      </w:r>
      <w:r w:rsidR="00CA267B">
        <w:t xml:space="preserve"/>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4.7 Société Trans Mountain et TMP Finance</w:t>
      </w:r>
      <w:r w:rsidR="005B399B">
        <w:t/>
      </w:r>
      <w:r>
        <w:t xml:space="preserve"/>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le propriétaire et l'entité de financement pour TMC.</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Consultez l'Annexe E pour obtenir de plus amples détails concernant TMC et son plan pour les cinq prochaines années. TMC est propriétaire de Trans Mountain Pipeline Limited Partnership (l'opérateur de Trans Mountain Pipeline), de Trans Mountain Pipeline ULC (l'entité réglementée et partenaire général du pipeline), de Trans Mountain Canada Inc. (l'employeur et l'entité de services) et de Trans Mountain Puget Inc. (qui possède la branche américaine du système), comme indiqué à l'Annexe A-1.</w:t>
      </w:r>
      <w:r w:rsidRPr="00B45A44">
        <w:t xml:space="preserve"/>
      </w:r>
      <w:r w:rsidR="00C15B16" w:rsidRPr="00B45A44">
        <w:t/>
      </w:r>
      <w:r w:rsidRPr="00E70B91">
        <w:t xml:space="preserve"/>
      </w:r>
      <w:r w:rsidRPr="00B45A44">
        <w:t xml:space="preserve"/>
      </w:r>
      <w:r w:rsidR="00C15B16" w:rsidRPr="00B45A44">
        <w:t/>
      </w:r>
      <w:r w:rsidRPr="00B45A44">
        <w:t/>
      </w:r>
      <w:r w:rsidRPr="00E70B91">
        <w:t xml:space="preserve"/>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TMC a atteint un jalon majeur en terminant le Projet d'Expansion au printemps 2024 et a entamé une nouvelle phase dans son cycle d'activité maintenant que le système de pipelines agrandi est opérationnel et fonctionne efficacement.</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collabore étroitement avec TMC et le gouvernement afin de maximiser la création de valeur de cet actif, ce qui pourrait inclure une évaluation des opportunités de croissance à plus petite échelle en 2025, un examen des options stratégiques de TMC, notamment en ce qui concerne sa structure de capital, ainsi que les prochaines étapes de la Participation Économique Autochtone dans TMC, incluant la fourniture de conseils juridiques et financiers au gouvernement.</w:t>
      </w:r>
      <w:r w:rsidR="00F1186D">
        <w:t/>
      </w:r>
      <w:r w:rsidR="007E3791">
        <w:t xml:space="preserve"/>
      </w:r>
      <w:r w:rsidR="006C4E15">
        <w:t xml:space="preserve"/>
      </w:r>
      <w:r w:rsidR="001B0483">
        <w:t xml:space="preserve"/>
      </w:r>
      <w:r w:rsidR="005D28D6">
        <w:t/>
      </w:r>
      <w:r w:rsidR="001B0483">
        <w:t xml:space="preserve"/>
      </w:r>
      <w:r w:rsidR="000E2AEB">
        <w:t/>
      </w:r>
      <w:r>
        <w:t xml:space="preserve"/>
      </w:r>
      <w:r w:rsidR="00614F25">
        <w:t/>
      </w:r>
      <w:r>
        <w:t xml:space="preserve"/>
      </w:r>
      <w:r w:rsidR="000D66CF">
        <w:t/>
      </w:r>
      <w:r>
        <w:t xml:space="preserve"/>
      </w:r>
      <w:r w:rsidR="008160FF">
        <w:t/>
      </w:r>
      <w:r>
        <w:t xml:space="preserve"/>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et objectifs prévus</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refinancement de la dette demeure essentiel en raison du coût relativement élevé de la dette syndiquée de 19 milliards de dollars. Il a été décidé de transférer toute la dette associée à TMC au bilan du gouvernement du Canada. Les détails concernant cette décision sont présentés dans la section suivante intitulée « Refinancement de TMC ».</w:t>
      </w:r>
      <w:r w:rsidR="41E249D5">
        <w:t xml:space="preserve"/>
      </w:r>
      <w:r w:rsidR="00723562">
        <w:t/>
      </w:r>
      <w:r w:rsidR="0007289B">
        <w:t/>
      </w:r>
      <w:r w:rsidR="132DE25C">
        <w:t/>
      </w:r>
      <w:r w:rsidR="0007289B">
        <w:t/>
      </w:r>
      <w:r w:rsidR="132DE25C">
        <w:t xml:space="preserve"/>
      </w:r>
      <w:r w:rsidR="00D01C7B">
        <w:t/>
      </w:r>
      <w:r w:rsidR="132DE25C">
        <w:t/>
      </w:r>
      <w:r w:rsidR="41E249D5">
        <w:t xml:space="preserve"/>
      </w:r>
      <w:r w:rsidR="132DE25C">
        <w:t/>
      </w:r>
      <w:r w:rsidR="7DF19EA1">
        <w:t/>
      </w:r>
      <w:r w:rsidR="00B944BE">
        <w:t xml:space="preserve"/>
      </w:r>
      <w:r w:rsidR="0007289B">
        <w:t xml:space="preserve"/>
      </w:r>
      <w:r w:rsidR="00D01C7B">
        <w:t/>
      </w:r>
      <w:r w:rsidR="00B944BE">
        <w:t xml:space="preserve"/>
      </w:r>
      <w:r w:rsidR="132DE25C">
        <w:t xml:space="preserve"/>
      </w:r>
      <w:r w:rsidR="41E249D5">
        <w:t xml:space="preserve"/>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Concernant la Participation Équitable Autochtone (« IEP ») dans TMC, CDEV prévoit revenir en 2025 avec un Plan Modifié visant à obtenir les autorisations nécessaires à la mise en œuvre d'une telle transaction.</w:t>
      </w:r>
      <w:r w:rsidR="0040651E">
        <w:rPr>
          <w:rFonts w:cs="Arial"/>
        </w:rPr>
        <w:t/>
      </w:r>
      <w:r w:rsidRPr="00311FF2">
        <w:rPr>
          <w:rFonts w:cs="Arial"/>
        </w:rPr>
        <w:t xml:space="preserve"/>
      </w:r>
      <w:r w:rsidR="0040651E" w:rsidRPr="00311FF2">
        <w:rPr>
          <w:rFonts w:cs="Arial"/>
        </w:rPr>
        <w:t/>
      </w:r>
      <w:r w:rsidR="0040651E">
        <w:rPr>
          <w:rFonts w:cs="Arial"/>
        </w:rPr>
        <w:t/>
      </w:r>
      <w:r w:rsidRPr="00311FF2">
        <w:rPr>
          <w:rFonts w:cs="Arial"/>
        </w:rPr>
        <w:t xml:space="preserve"/>
      </w:r>
      <w:r w:rsidR="00B36609">
        <w:rPr>
          <w:rFonts w:cs="Arial"/>
        </w:rPr>
        <w:t xml:space="preserve"/>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Refinancement de TMC</w:t>
      </w:r>
      <w:r w:rsidRPr="002C2D7E">
        <w:rPr>
          <w:i/>
          <w:iCs/>
          <w:color w:val="0F4761" w:themeColor="accent1" w:themeShade="BF"/>
        </w:rPr>
        <w:t/>
      </w:r>
      <w:r w:rsidRPr="00C52DC6">
        <w:rPr>
          <w:i/>
          <w:iCs/>
          <w:color w:val="0F4761" w:themeColor="accent1" w:themeShade="BF"/>
        </w:rPr>
        <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détient une dette syndiquée de tiers de 19 milliards de dollars, portant intérêt à un taux d'environ 5,75 %, avec une charge d'intérêt annuelle, en cas de tirage total, de 1,1 milliard de dollars. Maintenant que TMC est opérationnelle et considérablement moins risquée, il convient d'envisager des options de refinancement afin de réduire le coût global de la dette et d'économiser environ 2 millions de dollars par jour en charges d'intérêt, augmentant ainsi sa capacité à réduire sa dette plus rapidement, ce qui améliorera le rendement du gouvernement en cas de monétisation future. Le Premier Ministre et le Ministre des Finances ont décidé de refinancer la dette de TMC en utilisant l'option suivante :</w:t>
      </w:r>
      <w:r w:rsidR="00953B5D">
        <w:rPr>
          <w:rFonts w:cs="Arial"/>
        </w:rPr>
        <w:t/>
      </w:r>
      <w:r w:rsidRPr="006C27F9">
        <w:rPr>
          <w:rFonts w:cs="Arial"/>
        </w:rPr>
        <w:t/>
      </w:r>
      <w:r w:rsidR="00080081">
        <w:rPr>
          <w:rFonts w:cs="Arial"/>
        </w:rPr>
        <w:t/>
      </w:r>
      <w:r w:rsidRPr="006C27F9">
        <w:rPr>
          <w:rFonts w:cs="Arial"/>
        </w:rPr>
        <w:t xml:space="preserve"/>
      </w:r>
      <w:bookmarkStart w:id="27" w:name="_Hlk183445548"/>
      <w:r w:rsidRPr="006C27F9">
        <w:rPr>
          <w:rFonts w:cs="Arial"/>
        </w:rPr>
        <w:t/>
      </w:r>
      <w:r w:rsidR="00D91012" w:rsidRPr="00D91012">
        <w:rPr>
          <w:rFonts w:ascii="Arial" w:eastAsiaTheme="minorEastAsia" w:hAnsi="Arial" w:cs="Arial"/>
          <w:kern w:val="0"/>
          <w:sz w:val="24"/>
          <w:szCs w:val="24"/>
          <w:lang w:eastAsia="en-US"/>
          <w14:ligatures w14:val="none"/>
        </w:rPr>
        <w:t xml:space="preserve"/>
      </w:r>
      <w:r w:rsidR="00D91012" w:rsidRPr="00D91012">
        <w:rPr>
          <w:rFonts w:cs="Arial"/>
        </w:rPr>
        <w:t/>
      </w:r>
      <w:r w:rsidRPr="006C27F9">
        <w:rPr>
          <w:rFonts w:cs="Arial"/>
        </w:rPr>
        <w:t xml:space="preserve"/>
      </w:r>
      <w:r w:rsidR="00E83472" w:rsidRPr="00E83472">
        <w:rPr>
          <w:rFonts w:cs="Arial"/>
        </w:rPr>
        <w:t/>
      </w:r>
      <w:r w:rsidR="001F200A">
        <w:rPr>
          <w:rFonts w:cs="Arial"/>
        </w:rPr>
        <w:t/>
      </w:r>
      <w:r w:rsidR="00E83472" w:rsidRPr="00E83472">
        <w:rPr>
          <w:rFonts w:cs="Arial"/>
        </w:rPr>
        <w:t/>
      </w:r>
      <w:bookmarkEnd w:id="27"/>
      <w:r w:rsidRPr="006C27F9">
        <w:rPr>
          <w:rFonts w:cs="Arial"/>
        </w:rPr>
        <w:t/>
      </w:r>
      <w:r w:rsidR="006211AD">
        <w:rPr>
          <w:rFonts w:cs="Arial"/>
        </w:rPr>
        <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 la dette associée à TMC est financée par le Compte Canada de l'EDC. Canada TMP Finance Ltd. (« TMPF ») augmentera son prêt auprès de l'EDC en utilisant ces fonds pour acquérir davantage d'actions de TMC et pour prêter des fonds supplémentaires à TMC. TMC utilisera ces fonds pour rembourser intégralement la dette syndiquée et tous les intérêts accumulés. Il est prévu que le solde complet du prêt entre l'EDC et TMPF portera intérêt à un taux proche du coût du capital du gouvernement du Canada au moment de la transaction. TMPF pourrait facturer à TMC des frais d'intérêt supplémentaires, comme cela est le cas pour le prêt inter-entreprises actuel. Cette option maximise la réduction de la dette de TMC, offre plus de flexibilité pour toute monétisation future et devrait globalement maximiser le rendement de l'investissement pour le Canada. Ce refinancement devrait se dérouler aussi rapidement que possible et pourrait avoir lieu en décembre 2024, à condition que CDEV obtienne l'approbation du Conseil du Trésor pour ce Plan Corporatif.</w:t>
      </w:r>
      <w:r w:rsidRPr="0007289B">
        <w:rPr>
          <w:rFonts w:cs="Arial"/>
          <w:bCs/>
        </w:rPr>
        <w:t/>
      </w:r>
      <w:r w:rsidRPr="0007289B">
        <w:rPr>
          <w:rFonts w:cs="Arial"/>
        </w:rPr>
        <w:t xml:space="preserve"/>
      </w:r>
      <w:r w:rsidR="00360BE0">
        <w:rPr>
          <w:rFonts w:cs="Arial"/>
        </w:rPr>
        <w:t/>
      </w:r>
      <w:r w:rsidR="00360BE0" w:rsidRPr="0007289B">
        <w:rPr>
          <w:rFonts w:cs="Arial"/>
        </w:rPr>
        <w:t xml:space="preserve"/>
      </w:r>
      <w:r w:rsidRPr="0007289B">
        <w:rPr>
          <w:rFonts w:cs="Arial"/>
        </w:rPr>
        <w:t/>
      </w:r>
      <w:r w:rsidR="00E531E6">
        <w:rPr>
          <w:rFonts w:cs="Arial"/>
        </w:rPr>
        <w:t/>
      </w:r>
      <w:r w:rsidRPr="0007289B">
        <w:rPr>
          <w:rFonts w:cs="Arial"/>
        </w:rPr>
        <w:t xml:space="preserve"/>
      </w:r>
      <w:r w:rsidR="00E531E6">
        <w:rPr>
          <w:rFonts w:cs="Arial"/>
        </w:rPr>
        <w:t/>
      </w:r>
      <w:r w:rsidRPr="0007289B">
        <w:rPr>
          <w:rFonts w:cs="Arial"/>
        </w:rPr>
        <w:t/>
      </w:r>
      <w:r w:rsidR="000C1396" w:rsidRPr="46DA6EAA">
        <w:rPr>
          <w:rFonts w:cs="Arial"/>
        </w:rPr>
        <w:t xml:space="preserve"/>
      </w:r>
      <w:r w:rsidR="00FB228D">
        <w:rPr>
          <w:rFonts w:cs="Arial"/>
        </w:rPr>
        <w:t/>
      </w:r>
      <w:r w:rsidR="00E25AFC" w:rsidRPr="46DA6EAA">
        <w:rPr>
          <w:rFonts w:cs="Arial"/>
        </w:rPr>
        <w:t xml:space="preserve"/>
      </w:r>
      <w:r w:rsidR="00C30655" w:rsidRPr="46DA6EAA">
        <w:rPr>
          <w:rFonts w:cs="Arial"/>
        </w:rPr>
        <w:t xml:space="preserve"/>
      </w:r>
      <w:r w:rsidR="00CE07CF">
        <w:rPr>
          <w:rFonts w:cs="Arial"/>
        </w:rPr>
        <w:t/>
      </w:r>
      <w:r w:rsidR="00C30655" w:rsidRPr="46DA6EAA">
        <w:rPr>
          <w:rFonts w:cs="Arial"/>
        </w:rPr>
        <w:t xml:space="preserve"/>
      </w:r>
      <w:r w:rsidR="00282B02" w:rsidRPr="46DA6EAA">
        <w:rPr>
          <w:rFonts w:cs="Arial"/>
        </w:rPr>
        <w:t xml:space="preserve"/>
      </w:r>
      <w:r w:rsidR="004E0E50" w:rsidRPr="46DA6EAA">
        <w:rPr>
          <w:rFonts w:cs="Arial"/>
        </w:rPr>
        <w:t/>
      </w:r>
      <w:r w:rsidR="1515384A" w:rsidRPr="46DA6EAA">
        <w:rPr>
          <w:rFonts w:cs="Arial"/>
        </w:rPr>
        <w:t/>
      </w:r>
      <w:r w:rsidR="004E0E50" w:rsidRPr="46DA6EAA">
        <w:rPr>
          <w:rFonts w:cs="Arial"/>
        </w:rPr>
        <w:t/>
      </w:r>
      <w:r w:rsidR="009B0530">
        <w:rPr>
          <w:rFonts w:cs="Arial"/>
        </w:rPr>
        <w:t/>
      </w:r>
      <w:r w:rsidR="004E0E50" w:rsidRPr="46DA6EAA">
        <w:rPr>
          <w:rFonts w:cs="Arial"/>
        </w:rPr>
        <w:t xml:space="preserve"/>
      </w:r>
      <w:r w:rsidR="00E35F99" w:rsidRPr="46DA6EAA">
        <w:rPr>
          <w:rFonts w:cs="Arial"/>
        </w:rPr>
        <w:t xml:space="preserve"/>
      </w:r>
      <w:r w:rsidR="00B63D9C" w:rsidRPr="46DA6EAA">
        <w:rPr>
          <w:rFonts w:cs="Arial"/>
        </w:rPr>
        <w:t xml:space="preserve"/>
      </w:r>
      <w:r w:rsidR="00E35F99" w:rsidRPr="46DA6EAA">
        <w:rPr>
          <w:rFonts w:cs="Arial"/>
        </w:rPr>
        <w:t/>
      </w:r>
      <w:r w:rsidR="004F2E1D">
        <w:rPr>
          <w:rFonts w:cs="Arial"/>
        </w:rPr>
        <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aura une politique de dividendes convenue avec TMPF / CDEV qui garantira que pratiquement tout le flux de trésorerie disponible après paiement de la dette sera reversé en dividendes à TMPF pour permettre à TMPF de s'acquitter de ses obligations financières et, à son tour, de verser le flux de trésorerie excédentaire au gouvernement. CDEV / TMPF continueront de réviser le budget annuel de TMC et participeront aux réunions mensuelles de gestion afin de surveiller et d'assurer une activité de dépenses appropriée et efficace visant à maximiser les distributions de trésorerie.</w:t>
      </w:r>
      <w:r w:rsidR="00825736">
        <w:rPr>
          <w:rFonts w:cs="Arial"/>
        </w:rPr>
        <w:t/>
      </w:r>
      <w:r w:rsidR="003F1383">
        <w:rPr>
          <w:rFonts w:cs="Arial"/>
        </w:rPr>
        <w:t xml:space="preserve"/>
      </w:r>
      <w:r w:rsidRPr="006C27F9">
        <w:rPr>
          <w:rFonts w:cs="Arial"/>
        </w:rPr>
        <w:t/>
      </w:r>
      <w:r w:rsidR="003F1383">
        <w:rPr>
          <w:rFonts w:cs="Arial"/>
        </w:rPr>
        <w:t/>
      </w:r>
      <w:r w:rsidRPr="006C27F9">
        <w:rPr>
          <w:rFonts w:cs="Arial"/>
        </w:rPr>
        <w:t xml:space="preserve"/>
      </w:r>
      <w:r w:rsidR="00D01C7B">
        <w:rPr>
          <w:rFonts w:cs="Arial"/>
        </w:rPr>
        <w:t/>
      </w:r>
      <w:r w:rsidRPr="006C27F9">
        <w:rPr>
          <w:rFonts w:cs="Arial"/>
        </w:rPr>
        <w:t xml:space="preserve"/>
      </w:r>
      <w:proofErr w:type="gramStart"/>
      <w:r w:rsidRPr="006C27F9">
        <w:rPr>
          <w:rFonts w:cs="Arial"/>
        </w:rPr>
        <w:t/>
      </w:r>
      <w:proofErr w:type="gramEnd"/>
      <w:r w:rsidRPr="006C27F9">
        <w:rPr>
          <w:rFonts w:cs="Arial"/>
        </w:rPr>
        <w:t xml:space="preserve"/>
      </w:r>
      <w:r w:rsidR="00F91FAD" w:rsidRPr="006C27F9">
        <w:rPr>
          <w:rFonts w:cs="Arial"/>
        </w:rPr>
        <w:t/>
      </w:r>
      <w:r w:rsidRPr="006C27F9">
        <w:rPr>
          <w:rFonts w:cs="Arial"/>
        </w:rPr>
        <w:t xml:space="preserve"/>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Le schéma détaillé du scénario de refinancement est le suivant :</w:t>
      </w:r>
      <w:r w:rsidR="00E57BF9">
        <w:rPr>
          <w:rFonts w:cs="Arial"/>
        </w:rPr>
        <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une autorisation de prêt permettant à TMPF d'emprunter jusqu'à 20 milliards de dollars supplémentaires auprès du Compte EDC Canada, comprenant jusqu'à 19 milliards de dollars pour permettre à TMC de rembourser intégralement sa dette syndiquée par des tiers (actuellement de 18 milliards de dollars) et tous les intérêts accumulés, ainsi que la création d'une nouvelle facilité de fonds de roulement de 1 milliard de dollars (la prévision de TMC étant qu'elle n'utilisera que la moitié de cette facilité, soit 0,5 milliard de dollars au niveau de l'actif, comme indiqué dans leur plan) ;</w:t>
      </w:r>
      <w:r w:rsidR="00F72267" w:rsidRPr="006C27F9">
        <w:rPr>
          <w:rFonts w:cs="Arial"/>
        </w:rPr>
        <w:t/>
      </w:r>
      <w:r w:rsidR="00F64D07">
        <w:rPr>
          <w:rFonts w:cs="Arial"/>
        </w:rPr>
        <w:t xml:space="preserve"/>
      </w:r>
      <w:r w:rsidR="00F72267" w:rsidRPr="006C27F9">
        <w:rPr>
          <w:rFonts w:cs="Arial"/>
        </w:rPr>
        <w:t xml:space="preserve"/>
      </w:r>
      <w:r w:rsidR="009205A8">
        <w:rPr>
          <w:rFonts w:cs="Arial"/>
        </w:rPr>
        <w:t xml:space="preserve"/>
      </w:r>
      <w:r w:rsidR="00F72267" w:rsidRPr="006C27F9">
        <w:rPr>
          <w:rFonts w:cs="Arial"/>
        </w:rPr>
        <w:t xml:space="preserve"/>
      </w:r>
      <w:r w:rsidR="00EA7B34">
        <w:rPr>
          <w:rFonts w:cs="Arial"/>
        </w:rPr>
        <w:t/>
      </w:r>
      <w:r w:rsidR="00F72267" w:rsidRPr="006C27F9">
        <w:rPr>
          <w:rFonts w:cs="Arial"/>
        </w:rPr>
        <w:t xml:space="preserve"/>
      </w:r>
      <w:r w:rsidR="006D467A">
        <w:rPr>
          <w:rFonts w:cs="Arial"/>
        </w:rPr>
        <w:t xml:space="preserve"/>
      </w:r>
      <w:r w:rsidR="00F72267" w:rsidRPr="006C27F9">
        <w:rPr>
          <w:rFonts w:cs="Arial"/>
        </w:rPr>
        <w:t xml:space="preserve"/>
      </w:r>
      <w:r w:rsidR="00A07A67">
        <w:rPr>
          <w:rFonts w:cs="Arial"/>
        </w:rPr>
        <w:t xml:space="preserve"/>
      </w:r>
      <w:r w:rsidR="00F72267" w:rsidRPr="006C27F9">
        <w:rPr>
          <w:rFonts w:cs="Arial"/>
        </w:rPr>
        <w:t/>
      </w:r>
      <w:r w:rsidR="00C92CC2">
        <w:rPr>
          <w:rFonts w:cs="Arial"/>
        </w:rPr>
        <w:t/>
      </w:r>
      <w:r w:rsidR="0002560A">
        <w:rPr>
          <w:rFonts w:cs="Arial"/>
        </w:rPr>
        <w:t/>
      </w:r>
      <w:r w:rsidR="00C92CC2">
        <w:rPr>
          <w:rFonts w:cs="Arial"/>
        </w:rPr>
        <w:t xml:space="preserve"/>
      </w:r>
      <w:r w:rsidR="007C257B">
        <w:rPr>
          <w:rFonts w:cs="Arial"/>
        </w:rPr>
        <w:t/>
      </w:r>
      <w:r w:rsidR="007433EC">
        <w:rPr>
          <w:rFonts w:cs="Arial"/>
        </w:rPr>
        <w:t/>
      </w:r>
      <w:r w:rsidR="007C257B">
        <w:rPr>
          <w:rFonts w:cs="Arial"/>
        </w:rPr>
        <w:t xml:space="preserve"/>
      </w:r>
      <w:r w:rsidR="00976645">
        <w:rPr>
          <w:rFonts w:cs="Arial"/>
        </w:rPr>
        <w:t xml:space="preserve"/>
      </w:r>
      <w:r w:rsidR="00976645" w:rsidRPr="00976645">
        <w:rPr>
          <w:rFonts w:cs="Arial"/>
        </w:rPr>
        <w:t xml:space="preserve"/>
      </w:r>
      <w:r w:rsidR="00976645" w:rsidRPr="00976645">
        <w:rPr>
          <w:rFonts w:cs="Arial"/>
        </w:rPr>
        <w:lastRenderedPageBreak/>
        <w:t xml:space="preserve"/>
      </w:r>
      <w:r w:rsidR="00215A66">
        <w:rPr>
          <w:rFonts w:cs="Arial"/>
        </w:rPr>
        <w:t/>
      </w:r>
      <w:r w:rsidR="00976645" w:rsidRPr="00976645">
        <w:rPr>
          <w:rFonts w:cs="Arial"/>
        </w:rPr>
        <w:t xml:space="preserve"/>
      </w:r>
      <w:r w:rsidR="00F72267" w:rsidRPr="006C27F9">
        <w:rPr>
          <w:rFonts w:cs="Arial"/>
        </w:rPr>
        <w:t xml:space="preserve"/>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une approbation permettant à TMPF de souscrire à des actions supplémentaires de TMC pour une valeur ne dépassant pas la totalité des emprunts de TMPF auprès du Compte EDC Canada, en notant que la valeur réelle des actions acquises sera déterminée par CDEV et TMC afin de garantir une structure de financement du capital appropriée et optimisée pour TMC ; et</w:t>
      </w:r>
      <w:r w:rsidR="00F72267" w:rsidRPr="006C27F9">
        <w:rPr>
          <w:rFonts w:cs="Arial"/>
        </w:rPr>
        <w:t/>
      </w:r>
      <w:r w:rsidR="009205A8">
        <w:rPr>
          <w:rFonts w:cs="Arial"/>
        </w:rPr>
        <w:t/>
      </w:r>
      <w:r w:rsidR="00F72267" w:rsidRPr="006C27F9">
        <w:rPr>
          <w:rFonts w:cs="Arial"/>
        </w:rPr>
        <w:t xml:space="preserve"/>
      </w:r>
      <w:r w:rsidR="009205A8">
        <w:rPr>
          <w:rFonts w:cs="Arial"/>
        </w:rPr>
        <w:t xml:space="preserve"/>
      </w:r>
      <w:r w:rsidR="00F72267" w:rsidRPr="006C27F9">
        <w:rPr>
          <w:rFonts w:cs="Arial"/>
        </w:rPr>
        <w:t xml:space="preserve"/>
      </w:r>
      <w:r w:rsidR="00F67CBE">
        <w:rPr>
          <w:rFonts w:cs="Arial"/>
        </w:rPr>
        <w:t xml:space="preserve"/>
      </w:r>
      <w:r w:rsidR="00F72267" w:rsidRPr="006C27F9">
        <w:rPr>
          <w:rFonts w:cs="Arial"/>
        </w:rPr>
        <w:t/>
      </w:r>
      <w:r>
        <w:rPr>
          <w:rFonts w:cs="Arial"/>
        </w:rPr>
        <w:t xml:space="preserve"/>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une autorisation d'emprunt permettant à TMC d'obtenir des fonds auprès de TMPF pour rembourser intégralement toute la dette syndiquée par des tiers et les intérêts accumulés de TMC. Le montant de ces emprunts sera égal à la valeur totale des prêts de TMPF auprès du Compte EDC Canada, moins l'investissement en actions de TMPF dans TMC.</w:t>
      </w:r>
      <w:r w:rsidR="00F72267" w:rsidRPr="00BE6CFB">
        <w:rPr>
          <w:rFonts w:cs="Arial"/>
        </w:rPr>
        <w:t/>
      </w:r>
      <w:r w:rsidR="00E57BF9" w:rsidRPr="00BE6CFB">
        <w:rPr>
          <w:rFonts w:cs="Arial"/>
        </w:rPr>
        <w:t/>
      </w:r>
      <w:r w:rsidR="00F72267" w:rsidRPr="00BE6CFB">
        <w:rPr>
          <w:rFonts w:cs="Arial"/>
        </w:rPr>
        <w:t/>
      </w:r>
      <w:r w:rsidR="009205A8" w:rsidRPr="00BE6CFB">
        <w:rPr>
          <w:rFonts w:cs="Arial"/>
        </w:rPr>
        <w:t/>
      </w:r>
      <w:r w:rsidR="00F72267" w:rsidRPr="00BE6CFB">
        <w:rPr>
          <w:rFonts w:cs="Arial"/>
        </w:rPr>
        <w:t xml:space="preserve"/>
      </w:r>
      <w:r w:rsidR="009205A8" w:rsidRPr="00BE6CFB">
        <w:rPr>
          <w:rFonts w:cs="Arial"/>
        </w:rPr>
        <w:t xml:space="preserve"/>
      </w:r>
      <w:r w:rsidR="00F72267" w:rsidRPr="00BE6CFB">
        <w:rPr>
          <w:rFonts w:cs="Arial"/>
        </w:rPr>
        <w:t/>
      </w:r>
      <w:r w:rsidR="00E57BF9" w:rsidRPr="00BE6CFB">
        <w:rPr>
          <w:rFonts w:cs="Arial"/>
        </w:rPr>
        <w:t/>
      </w:r>
      <w:r w:rsidR="00F72267" w:rsidRPr="00BE6CFB">
        <w:rPr>
          <w:rFonts w:cs="Arial"/>
        </w:rPr>
        <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sur TMC</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refinancement de TMC inclura une restructuration des prêts inter-entreprises de TMPF à TMC, en plus de la souscription par TMPF à des actions supplémentaires de TMC. Ces fonds serviront à rembourser la dette syndiquée de TMC.</w:t>
      </w:r>
      <w:r w:rsidR="00BD0B52">
        <w:t xml:space="preserve"/>
      </w:r>
      <w:r w:rsidR="2EF890BF">
        <w:t/>
      </w:r>
      <w:r w:rsidR="69DACE7B">
        <w:t/>
      </w:r>
      <w:r w:rsidR="00BD0B52">
        <w:t/>
      </w:r>
      <w:r>
        <w:t/>
      </w:r>
      <w:r w:rsidR="69DACE7B">
        <w:t xml:space="preserve"/>
      </w:r>
      <w:r w:rsidR="5A051108">
        <w:t xml:space="preserve"/>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capital nécessitera également une extension et des modifications du prêt de TMPF auprès de l'EDC, comprenant une réduction du taux d'intérêt.</w:t>
      </w:r>
      <w:r w:rsidR="00E513DC">
        <w:t xml:space="preserve"/>
      </w:r>
      <w:r>
        <w:t xml:space="preserve"/>
      </w:r>
      <w:r w:rsidR="00E513DC">
        <w:t xml:space="preserve"/>
      </w:r>
      <w:r>
        <w:t/>
      </w:r>
      <w:r w:rsidR="00E513DC">
        <w:t/>
      </w:r>
      <w:r>
        <w:t xml:space="preserve"/>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Une structuration minutieuse de tout changement dans les modalités de financement de TMPF est essentielle pour s'assurer que TMPF ne se retrouve pas en situation d'insolvabilité ou de problème de continuité de ses activités si, à tout moment, le flux de dividendes provenant de TMC (ou des éventuelles recettes de monétisation) s'avérait insuffisant pour rembourser les intérêts et le capital des emprunts de TMPF en l'absence de mesures de secours appropriées.</w:t>
      </w:r>
      <w:r w:rsidR="10D16835">
        <w:t/>
      </w:r>
      <w:r>
        <w:t/>
      </w:r>
      <w:r w:rsidR="73555298">
        <w:t/>
      </w:r>
      <w:r>
        <w:t/>
      </w:r>
      <w:r w:rsidR="722F2C43">
        <w:t/>
      </w:r>
      <w:r>
        <w:t xml:space="preserve"/>
      </w:r>
      <w:r w:rsidR="27AD2E4D">
        <w:t/>
      </w:r>
      <w:r>
        <w:t xml:space="preserve"/>
      </w:r>
      <w:r w:rsidR="27AD2E4D">
        <w:t/>
      </w:r>
      <w:r>
        <w:t xml:space="preserve"/>
      </w:r>
      <w:r w:rsidR="511A68A6">
        <w:t/>
      </w:r>
      <w:r>
        <w:t xml:space="preserve"/>
      </w:r>
      <w:r w:rsidR="77BD3806">
        <w:t xml:space="preserve"/>
      </w:r>
      <w:r w:rsidR="01A69988">
        <w:t/>
      </w:r>
      <w:r w:rsidR="77BD3806">
        <w:t xml:space="preserve"/>
      </w:r>
      <w:r>
        <w:t xml:space="preserve"/>
      </w:r>
      <w:r w:rsidR="370EF7BD">
        <w:t xml:space="preserve"/>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Quant à la gouvernance, veuillez noter que Mark Maki, auparavant Directeur financier et stratégique de TMC, a été nommé Directeur général de TMC à compter du 1er septembre 2024, tandis que l’ancienne Directrice générale, Dawn Farrell, deviendra Présidente du Conseil d’administration à la même date. Conformément à ses responsabilités, CDEV a joué un rôle clé pour soutenir TMC pendant la transition de leadership.</w:t>
      </w:r>
      <w:r w:rsidR="1020EFA2">
        <w:t xml:space="preserve"/>
      </w:r>
      <w:r>
        <w:t xml:space="preserve"/>
      </w:r>
      <w:r w:rsidR="00846F6D">
        <w:t xml:space="preserve"/>
      </w:r>
      <w:r w:rsidR="007D2AD4">
        <w:t/>
      </w:r>
      <w:r w:rsidR="00846F6D">
        <w:t xml:space="preserve"/>
      </w:r>
      <w:r w:rsidR="001E1406">
        <w:t xml:space="preserve"/>
      </w:r>
      <w:r w:rsidR="004C185F">
        <w:t/>
      </w:r>
      <w:r w:rsidR="001E1406">
        <w:t/>
      </w:r>
      <w:r w:rsidR="001E1406" w:rsidRPr="001E1406">
        <w:rPr>
          <w:vertAlign w:val="superscript"/>
        </w:rPr>
        <w:t/>
      </w:r>
      <w:r w:rsidR="001E1406">
        <w:t xml:space="preserve"/>
      </w:r>
      <w:r w:rsidR="001837F1">
        <w:t xml:space="preserve"/>
      </w:r>
      <w:r w:rsidR="007D6B2D">
        <w:t/>
      </w:r>
      <w:r w:rsidR="001837F1">
        <w:t xml:space="preserve"/>
      </w:r>
      <w:r w:rsidR="00C17DA3">
        <w:t xml:space="preserve"/>
      </w:r>
      <w:r w:rsidR="00896542">
        <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Prêteur à Telesat Lightspeed, section 4.8.</w:t>
      </w:r>
      <w:r w:rsidR="005B399B">
        <w:t/>
      </w:r>
      <w:r>
        <w:t xml:space="preserve"/>
      </w:r>
      <w:r w:rsidR="00A92471">
        <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aide ISED et Finances à structurer un programme de soutien du Compte Canada de 2,14 milliards de dollars canadiens pour Telesat afin de financer le développement de leur constellation en orbite terrestre basse (« LEO »). Cet investissement a été annoncé publiquement par le Premier ministre du Canada le 13 septembre 2024.</w:t>
      </w:r>
      <w:r>
        <w:t xml:space="preserve"/>
      </w:r>
      <w:r w:rsidRPr="00715783">
        <w:t/>
      </w:r>
      <w:r>
        <w:t xml:space="preserve"/>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s’est élargi afin d’inclure également le financement et la gestion d’un prêt de construction et à terme sur 15 ans au bénéficiaire du prêt LEO de Telesat, ainsi que la gestion de la composante des bons de souscription incluse dans le programme.</w:t>
      </w:r>
      <w:r w:rsidRPr="5ED67FA8">
        <w:rPr>
          <w:rFonts w:ascii="Arial" w:hAnsi="Arial" w:cs="Arial"/>
        </w:rPr>
        <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CDEV s’est concentré sur la négociation de la documentation en collaboration avec ISED et Finances, ainsi que sur le travail préparatoire nécessaire pour financer et gérer le prêt au bénéficiaire du prêt LEO de Telesat.</w:t>
      </w:r>
      <w:r w:rsidRPr="00715783">
        <w:t xml:space="preserve"/>
      </w:r>
      <w:r>
        <w:t xml:space="preserve"/>
      </w:r>
      <w:r w:rsidRPr="00715783">
        <w:t/>
      </w:r>
      <w:r>
        <w:t xml:space="preserve"/>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et objectifs prévus.</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constitué une filiale, 16342451 Canada Inc., le 5 septembre 2024, afin de financer, gérer et surveiller le prêt. Les directeurs de cette filiale sont exclusivement membres de l’équipe de direction de CDEV et ne comptent aucun autre employé, dépendant complètement du personnel de CDEV. Les délégations d’autorité nécessaires sont en cours d’élaboration en collaboration avec Finances et ISED ainsi qu’au sein de la filiale de CDEV, ce qui permettra, entre autres, de transférer les fonds du Compte Canada d’EDC et de la filiale de CDEV au bénéficiaire du prêt LEO de Telesat. Les fonds devraient être versés du quatrième trimestre de 2024 au premier trimestre de 2028. Les décaissements seront effectués sous réserve de l’évaluation des conditions préalables à chaque avance (y compris les étapes du projet) telles que stipulées dans les accords de financement, lesquelles incluent des confirmations nécessaires d’un conseiller technique indépendant préalablement engagé. Le prêt sera remboursé par des paiements d’amortissement planifiés de 2029 à 2039, en ligne avec la durée globale du prêt de 15 ans. Entre autres fonctions, la filiale dépendra de CDEV pour garantir que le prêt reste en conformité avec les termes et conditions pendant toute sa durée et pour mettre en œuvre la méthodologie de provisionnement des pertes sur prêts basée sur la norme IFRS 9.</w:t>
      </w:r>
      <w:r w:rsidR="000324E6">
        <w:t/>
      </w:r>
      <w:r w:rsidR="00B70699">
        <w:t/>
      </w:r>
      <w:r w:rsidR="001B3ECE">
        <w:t/>
      </w:r>
      <w:r w:rsidR="003D54F3">
        <w:t xml:space="preserve"/>
      </w:r>
      <w:r w:rsidR="00016112">
        <w:t xml:space="preserve"/>
      </w:r>
      <w:r w:rsidR="00C668C3">
        <w:t/>
      </w:r>
      <w:r w:rsidR="008E74C1">
        <w:t xml:space="preserve"/>
      </w:r>
      <w:r w:rsidR="0C956FBA">
        <w:t/>
      </w:r>
      <w:r w:rsidR="00D70377">
        <w:t xml:space="preserve"/>
      </w:r>
      <w:r w:rsidR="179589DA">
        <w:t/>
      </w:r>
      <w:r w:rsidR="57C5716D">
        <w:t/>
      </w:r>
      <w:r w:rsidR="179589DA">
        <w:t/>
      </w:r>
      <w:r>
        <w:t xml:space="preserve"/>
      </w:r>
      <w:r w:rsidR="004F780B">
        <w:t/>
      </w:r>
      <w:r>
        <w:t xml:space="preserve"/>
      </w:r>
      <w:r w:rsidR="004F780B">
        <w:t/>
      </w:r>
      <w:r>
        <w:t xml:space="preserve"/>
      </w:r>
      <w:r w:rsidR="5BEF305C">
        <w:t/>
      </w:r>
      <w:r w:rsidR="003D65EF">
        <w:t xml:space="preserve"/>
      </w:r>
      <w:r w:rsidR="5BEF305C">
        <w:t xml:space="preserve"/>
      </w:r>
      <w:r w:rsidR="003D65EF">
        <w:t xml:space="preserve"/>
      </w:r>
      <w:r w:rsidR="5BEF305C">
        <w:t/>
      </w:r>
      <w:r w:rsidR="14D04EF3">
        <w:t/>
      </w:r>
      <w:r w:rsidR="422126FB">
        <w:t xml:space="preserve"/>
      </w:r>
      <w:r w:rsidR="14D04EF3">
        <w:t xml:space="preserve"/>
      </w:r>
      <w:r w:rsidR="488011FA">
        <w:t/>
      </w:r>
      <w:r w:rsidR="3974AD24">
        <w:t xml:space="preserve"/>
      </w:r>
      <w:r w:rsidR="488011FA">
        <w:t/>
      </w:r>
      <w:r w:rsidR="309C7DBB">
        <w:t/>
      </w:r>
      <w:r w:rsidR="488011FA">
        <w:t xml:space="preserve"/>
      </w:r>
      <w:r w:rsidR="0D097C3C">
        <w:t xml:space="preserve"/>
      </w:r>
      <w:r w:rsidR="6B3F50AD">
        <w:t xml:space="preserve"/>
      </w:r>
      <w:r w:rsidR="5BEF305C">
        <w:t/>
      </w:r>
      <w:r w:rsidR="5FD6910B">
        <w:t xml:space="preserve"/>
      </w:r>
      <w:r w:rsidR="2CF64207">
        <w:t xml:space="preserve"/>
      </w:r>
      <w:r w:rsidR="40D09E9E">
        <w:t/>
      </w:r>
      <w:r w:rsidR="6350CBCE">
        <w:t xml:space="preserve"/>
      </w:r>
      <w:r w:rsidR="3D64594D">
        <w:t/>
      </w:r>
      <w:r w:rsidR="00D24C12">
        <w:t/>
      </w:r>
      <w:r w:rsidR="40D09E9E">
        <w:t xml:space="preserve"/>
      </w:r>
      <w:proofErr w:type="gramStart"/>
      <w:r w:rsidR="40D09E9E">
        <w:t/>
      </w:r>
      <w:proofErr w:type="gramEnd"/>
      <w:r w:rsidR="40D09E9E">
        <w:t xml:space="preserve"/>
      </w:r>
      <w:r w:rsidR="0892C139">
        <w:t xml:space="preserve"/>
      </w:r>
      <w:r>
        <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Autres mandats, section 4.9.</w:t>
      </w:r>
      <w:r w:rsidR="005B399B">
        <w:t/>
      </w:r>
      <w:r>
        <w:t xml:space="preserve"/>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Paiements de NPI des propriétaires des projets Hibernia.</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assume une responsabilité directe en vertu du projet de développement Hibernia NPI et du projet de développement Hibernia INPI conformément à un protocole d’entente signé. L’arrangement concernant le NPI prévoit que le gouvernement reçoit environ 10 % de tous les profits issus de la production de pétrole du champ principal d’Hibernia (c.-à-d. le NPI), ainsi que 10 % des revenus des activités accessoires d’Hibernia (c.-à-d. l’INPI), comme l’extension sud d’Hibernia.</w:t>
      </w:r>
      <w:r w:rsidR="002A7AC5">
        <w:rPr>
          <w:rFonts w:asciiTheme="minorHAnsi" w:hAnsiTheme="minorHAnsi"/>
        </w:rPr>
        <w:t/>
      </w:r>
      <w:r w:rsidRPr="00AD187F">
        <w:rPr>
          <w:rFonts w:asciiTheme="minorHAnsi" w:hAnsiTheme="minorHAnsi"/>
        </w:rPr>
        <w:t xml:space="preserve"/>
      </w:r>
      <w:r w:rsidR="009C3406">
        <w:rPr>
          <w:rFonts w:asciiTheme="minorHAnsi" w:hAnsiTheme="minorHAnsi"/>
        </w:rPr>
        <w:t xml:space="preserve"/>
      </w:r>
      <w:r w:rsidRPr="00AD187F">
        <w:rPr>
          <w:rFonts w:asciiTheme="minorHAnsi" w:hAnsiTheme="minorHAnsi"/>
        </w:rPr>
        <w:t xml:space="preserve"/>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dispositions ont été prises en reconnaissance du soutien financier fédéral substantiel accordé au projet Hibernia en 1990, qui a permis la réalisation du projet alors que le niveau de risque était trop élevé pour les entités commerciales. Au lieu de retours fixes sur capital, les propriétaires ont accepté de partager les avantages économiques futurs. Les paiements sont conditionnés aux prix du pétrole, à la rentabilité du projet et aux contraintes de trésorerie. Il est important de noter que ces arrangements sont distincts de la participation en actions du Canada dans le projet Hibernia via CHHC.</w:t>
      </w:r>
      <w:r w:rsidR="00206CCB" w:rsidRPr="006234D8">
        <w:rPr>
          <w:rFonts w:asciiTheme="minorHAnsi" w:hAnsiTheme="minorHAnsi"/>
        </w:rPr>
        <w:t/>
      </w:r>
      <w:r w:rsidRPr="006234D8">
        <w:rPr>
          <w:rFonts w:asciiTheme="minorHAnsi" w:hAnsiTheme="minorHAnsi"/>
        </w:rPr>
        <w:t xml:space="preserve"/>
      </w:r>
      <w:r w:rsidR="002A0BD9" w:rsidRPr="006234D8">
        <w:rPr>
          <w:rFonts w:asciiTheme="minorHAnsi" w:hAnsiTheme="minorHAnsi"/>
        </w:rPr>
        <w:t xml:space="preserve"/>
      </w:r>
      <w:r w:rsidR="001445C6" w:rsidRPr="006234D8">
        <w:rPr>
          <w:rFonts w:asciiTheme="minorHAnsi" w:hAnsiTheme="minorHAnsi"/>
        </w:rPr>
        <w:t xml:space="preserve"/>
      </w:r>
      <w:r w:rsidR="00FB54B0" w:rsidRPr="006234D8">
        <w:rPr>
          <w:rFonts w:asciiTheme="minorHAnsi" w:hAnsiTheme="minorHAnsi"/>
        </w:rPr>
        <w:t/>
      </w:r>
      <w:r w:rsidR="00683DF3" w:rsidRPr="006234D8">
        <w:rPr>
          <w:rFonts w:asciiTheme="minorHAnsi" w:hAnsiTheme="minorHAnsi"/>
        </w:rPr>
        <w:t xml:space="preserve"/>
      </w:r>
      <w:r w:rsidR="00876D8A" w:rsidRPr="006234D8">
        <w:rPr>
          <w:rFonts w:asciiTheme="minorHAnsi" w:hAnsiTheme="minorHAnsi"/>
        </w:rPr>
        <w:t xml:space="preserve"/>
      </w:r>
      <w:r w:rsidR="0096796C" w:rsidRPr="006234D8">
        <w:rPr>
          <w:rFonts w:asciiTheme="minorHAnsi" w:hAnsiTheme="minorHAnsi"/>
        </w:rPr>
        <w:t xml:space="preserve"/>
      </w:r>
      <w:r w:rsidR="001567F6" w:rsidRPr="006234D8">
        <w:rPr>
          <w:rFonts w:asciiTheme="minorHAnsi" w:hAnsiTheme="minorHAnsi"/>
        </w:rPr>
        <w:t/>
      </w:r>
      <w:r w:rsidR="006234D8" w:rsidRPr="006234D8">
        <w:rPr>
          <w:rFonts w:asciiTheme="minorHAnsi" w:hAnsiTheme="minorHAnsi"/>
        </w:rPr>
        <w:t xml:space="preserve"/>
      </w:r>
      <w:r w:rsidR="0043575B" w:rsidRPr="006234D8">
        <w:rPr>
          <w:rFonts w:asciiTheme="minorHAnsi" w:hAnsiTheme="minorHAnsi"/>
        </w:rPr>
        <w:t/>
      </w:r>
      <w:r w:rsidR="000F5806">
        <w:rPr>
          <w:rFonts w:asciiTheme="minorHAnsi" w:hAnsiTheme="minorHAnsi"/>
        </w:rPr>
        <w:t/>
      </w:r>
      <w:r w:rsidR="0043575B" w:rsidRPr="006234D8">
        <w:rPr>
          <w:rFonts w:asciiTheme="minorHAnsi" w:hAnsiTheme="minorHAnsi"/>
        </w:rPr>
        <w:t xml:space="preserve"/>
      </w:r>
      <w:r w:rsidR="000F5806">
        <w:rPr>
          <w:rFonts w:asciiTheme="minorHAnsi" w:hAnsiTheme="minorHAnsi"/>
        </w:rPr>
        <w:t/>
      </w:r>
      <w:r w:rsidR="0043575B" w:rsidRPr="006234D8">
        <w:rPr>
          <w:rFonts w:asciiTheme="minorHAnsi" w:hAnsiTheme="minorHAnsi"/>
        </w:rPr>
        <w:t/>
      </w:r>
      <w:r w:rsidR="008607E3" w:rsidRPr="006234D8">
        <w:rPr>
          <w:rFonts w:asciiTheme="minorHAnsi" w:hAnsiTheme="minorHAnsi"/>
        </w:rPr>
        <w:t/>
      </w:r>
      <w:r w:rsidR="006234D8">
        <w:rPr>
          <w:rFonts w:asciiTheme="minorHAnsi" w:hAnsiTheme="minorHAnsi"/>
        </w:rPr>
        <w:t xml:space="preserve"/>
      </w:r>
      <w:r w:rsidR="00201411">
        <w:rPr>
          <w:rFonts w:asciiTheme="minorHAnsi" w:hAnsiTheme="minorHAnsi"/>
        </w:rPr>
        <w:t xml:space="preserve"/>
      </w:r>
      <w:r w:rsidR="006234D8">
        <w:rPr>
          <w:rFonts w:asciiTheme="minorHAnsi" w:hAnsiTheme="minorHAnsi"/>
        </w:rPr>
        <w:t xml:space="preserve"/>
      </w:r>
      <w:r w:rsidR="00201411">
        <w:rPr>
          <w:rFonts w:asciiTheme="minorHAnsi" w:hAnsiTheme="minorHAnsi"/>
        </w:rPr>
        <w:t/>
      </w:r>
      <w:r w:rsidR="00110AE4">
        <w:rPr>
          <w:rFonts w:asciiTheme="minorHAnsi" w:hAnsiTheme="minorHAnsi"/>
        </w:rPr>
        <w:t xml:space="preserve"/>
      </w:r>
      <w:r w:rsidR="00201411">
        <w:rPr>
          <w:rFonts w:asciiTheme="minorHAnsi" w:hAnsiTheme="minorHAnsi"/>
        </w:rPr>
        <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L’INPI a pris fin en 2023 après ses vingt années contractuelles, ayant atteint un niveau de production minimum de pétrole en 2003. Le profit net est défini comme les revenus spécifiques moins certaines dépenses d’exploitation et les dépenses d’investissement en espèces encourues par les propriétaires, moins les redevances.</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Pour remplir ses obligations au titre de l’accord, CDEV a retenu une firme comptable pour auditer les soumissions NPI des propriétaires d’Hibernia. CDEV conservera des fonds dans la réserve NPI au moment approprié afin de s’assurer qu’il dispose des ressources financières nécessaires pour financer toute obligation ou remboursement lié aux coûts de l’abandon à la fin de la durée de vie du projet du champ Hibernia, actuellement prévue pour 2047. CDEV collabore également avec des conseillers juridiques et autres pour défendre ses intérêts lors de procédures d’arbitrage existantes ou futures.</w:t>
      </w:r>
      <w:r w:rsidR="006C1E33">
        <w:rPr>
          <w:rFonts w:asciiTheme="minorHAnsi" w:hAnsiTheme="minorHAnsi"/>
        </w:rPr>
        <w:t/>
      </w:r>
      <w:r w:rsidRPr="00AD187F">
        <w:rPr>
          <w:rFonts w:asciiTheme="minorHAnsi" w:hAnsiTheme="minorHAnsi"/>
        </w:rPr>
        <w:t xml:space="preserve"/>
      </w:r>
      <w:r w:rsidR="002D1DC3">
        <w:rPr>
          <w:rFonts w:asciiTheme="minorHAnsi" w:hAnsiTheme="minorHAnsi"/>
        </w:rPr>
        <w:t xml:space="preserve"/>
      </w:r>
      <w:r w:rsidRPr="00AD187F">
        <w:rPr>
          <w:rFonts w:asciiTheme="minorHAnsi" w:hAnsiTheme="minorHAnsi"/>
        </w:rPr>
        <w:t xml:space="preserve"/>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Les autres mandats supplémentaires entrepris par CDEV incluent les travaux préliminaires visant à examiner les possibilités d’optimisation commerciale et d’accroissement de la valeur des actifs gouvernementaux.</w:t>
      </w:r>
      <w:r w:rsidR="003D6FCB" w:rsidRPr="05C4DC40">
        <w:rPr>
          <w:rFonts w:asciiTheme="minorHAnsi" w:hAnsiTheme="minorHAnsi"/>
        </w:rPr>
        <w:t xml:space="preserve"/>
      </w:r>
      <w:r w:rsidR="00D24544" w:rsidRPr="05C4DC40">
        <w:rPr>
          <w:rFonts w:asciiTheme="minorHAnsi" w:hAnsiTheme="minorHAnsi"/>
        </w:rPr>
        <w:t xml:space="preserve"/>
      </w:r>
      <w:r w:rsidR="005A61D6" w:rsidRPr="05C4DC40">
        <w:rPr>
          <w:rFonts w:asciiTheme="minorHAnsi" w:hAnsiTheme="minorHAnsi"/>
        </w:rPr>
        <w:t xml:space="preserve"/>
      </w:r>
      <w:r w:rsidR="00D24544" w:rsidRPr="05C4DC40">
        <w:rPr>
          <w:rFonts w:asciiTheme="minorHAnsi" w:hAnsiTheme="minorHAnsi"/>
        </w:rPr>
        <w:t/>
      </w:r>
      <w:r w:rsidR="0033685E" w:rsidRPr="05C4DC40">
        <w:rPr>
          <w:rFonts w:asciiTheme="minorHAnsi" w:hAnsiTheme="minorHAnsi"/>
        </w:rPr>
        <w:t/>
      </w:r>
      <w:r w:rsidR="009A2750" w:rsidRPr="05C4DC40">
        <w:rPr>
          <w:rFonts w:asciiTheme="minorHAnsi" w:hAnsiTheme="minorHAnsi"/>
        </w:rPr>
        <w:t xml:space="preserve"/>
      </w:r>
      <w:r w:rsidR="00B36C92" w:rsidRPr="05C4DC40">
        <w:rPr>
          <w:rFonts w:asciiTheme="minorHAnsi" w:hAnsiTheme="minorHAnsi"/>
        </w:rPr>
        <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À travers les mandats décrits ci-dessus, CDEV consolide sa position en tant qu’entité de choix du gouvernement fédéral pour mener des opérations financières critiques et des transactions commerciales dans l’intérêt du Canada. CDEV est prêt à assumer des mandats supplémentaires, avec pour objectif constant d’apporter la perspective commerciale nécessaire pour aider le gouvernement à atteindre ses objectifs politiques.</w:t>
      </w:r>
      <w:r w:rsidR="00662FD0" w:rsidRPr="5322E5D3">
        <w:rPr>
          <w:rFonts w:asciiTheme="minorHAnsi" w:hAnsiTheme="minorHAnsi"/>
        </w:rPr>
        <w:t xml:space="preserve"/>
      </w:r>
      <w:r w:rsidR="00CE7126" w:rsidRPr="5322E5D3">
        <w:rPr>
          <w:rFonts w:asciiTheme="minorHAnsi" w:hAnsiTheme="minorHAnsi"/>
        </w:rPr>
        <w:t/>
      </w:r>
      <w:r w:rsidR="00662FD0" w:rsidRPr="5322E5D3">
        <w:rPr>
          <w:rFonts w:asciiTheme="minorHAnsi" w:hAnsiTheme="minorHAnsi"/>
        </w:rPr>
        <w:t xml:space="preserve"/>
      </w:r>
      <w:r w:rsidR="00CE7126" w:rsidRPr="5322E5D3">
        <w:rPr>
          <w:rFonts w:asciiTheme="minorHAnsi" w:hAnsiTheme="minorHAnsi"/>
        </w:rPr>
        <w:t xml:space="preserve"/>
      </w:r>
      <w:r w:rsidR="00931730" w:rsidRPr="5322E5D3">
        <w:rPr>
          <w:rFonts w:asciiTheme="minorHAnsi" w:hAnsiTheme="minorHAnsi"/>
        </w:rPr>
        <w:t/>
      </w:r>
      <w:r w:rsidR="00103D54" w:rsidRPr="5322E5D3">
        <w:rPr>
          <w:rFonts w:asciiTheme="minorHAnsi" w:hAnsiTheme="minorHAnsi"/>
        </w:rPr>
        <w:t xml:space="preserve"/>
      </w:r>
      <w:r w:rsidR="00931730" w:rsidRPr="5322E5D3">
        <w:rPr>
          <w:rFonts w:asciiTheme="minorHAnsi" w:hAnsiTheme="minorHAnsi"/>
        </w:rPr>
        <w:t/>
      </w:r>
      <w:r w:rsidR="00103D54" w:rsidRPr="5322E5D3">
        <w:rPr>
          <w:rFonts w:asciiTheme="minorHAnsi" w:hAnsiTheme="minorHAnsi"/>
        </w:rPr>
        <w:t xml:space="preserve"/>
      </w:r>
      <w:r w:rsidR="002D5211" w:rsidRPr="5322E5D3">
        <w:rPr>
          <w:rFonts w:asciiTheme="minorHAnsi" w:hAnsiTheme="minorHAnsi"/>
        </w:rPr>
        <w:t xml:space="preserve"/>
      </w:r>
      <w:r w:rsidR="0093031B" w:rsidRPr="5322E5D3">
        <w:rPr>
          <w:rFonts w:asciiTheme="minorHAnsi" w:hAnsiTheme="minorHAnsi"/>
        </w:rPr>
        <w:t/>
      </w:r>
      <w:r w:rsidR="002D5211" w:rsidRPr="5322E5D3">
        <w:rPr>
          <w:rFonts w:asciiTheme="minorHAnsi" w:hAnsiTheme="minorHAnsi"/>
        </w:rPr>
        <w:t xml:space="preserve"/>
      </w:r>
      <w:r w:rsidR="00E05B6A" w:rsidRPr="5322E5D3">
        <w:rPr>
          <w:rFonts w:asciiTheme="minorHAnsi" w:hAnsiTheme="minorHAnsi"/>
        </w:rPr>
        <w:t/>
      </w:r>
      <w:r w:rsidR="002D5211" w:rsidRPr="5322E5D3">
        <w:rPr>
          <w:rFonts w:asciiTheme="minorHAnsi" w:hAnsiTheme="minorHAnsi"/>
        </w:rPr>
        <w:t xml:space="preserve"/>
      </w:r>
      <w:r w:rsidR="00407B8A" w:rsidRPr="5322E5D3">
        <w:rPr>
          <w:rFonts w:asciiTheme="minorHAnsi" w:hAnsiTheme="minorHAnsi"/>
        </w:rPr>
        <w:t xml:space="preserve"/>
      </w:r>
      <w:r w:rsidR="009A05F4" w:rsidRPr="5322E5D3">
        <w:rPr>
          <w:rFonts w:asciiTheme="minorHAnsi" w:hAnsiTheme="minorHAnsi"/>
        </w:rPr>
        <w:t xml:space="preserve"/>
      </w:r>
      <w:r w:rsidR="00407B8A" w:rsidRPr="5322E5D3">
        <w:rPr>
          <w:rFonts w:asciiTheme="minorHAnsi" w:hAnsiTheme="minorHAnsi"/>
        </w:rPr>
        <w:t/>
      </w:r>
      <w:r w:rsidR="00822C2C" w:rsidRPr="5322E5D3">
        <w:rPr>
          <w:rFonts w:asciiTheme="minorHAnsi" w:hAnsiTheme="minorHAnsi"/>
        </w:rPr>
        <w:t xml:space="preserve"/>
      </w:r>
      <w:r w:rsidR="0093031B" w:rsidRPr="5322E5D3">
        <w:rPr>
          <w:rFonts w:asciiTheme="minorHAnsi" w:hAnsiTheme="minorHAnsi"/>
        </w:rPr>
        <w:t/>
      </w:r>
      <w:r w:rsidR="00407B8A" w:rsidRPr="5322E5D3">
        <w:rPr>
          <w:rFonts w:asciiTheme="minorHAnsi" w:hAnsiTheme="minorHAnsi"/>
        </w:rPr>
        <w:t xml:space="preserve"/>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Section financière, 5.0.</w:t>
      </w:r>
      <w:r w:rsidR="00B504C4">
        <w:t xml:space="preserve"/>
      </w:r>
      <w:r w:rsidR="001B6C25">
        <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Aperçu financier de 2024, section 5.1.</w:t>
      </w:r>
      <w:r w:rsidR="00B1045D">
        <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et projections de CDEV.</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prévue de CDEV pour 2024 s’élève à 413 millions de dollars, principalement composée d’une perte de 316 millions de dollars pour TMP Finance et d’une perte de 157 millions de dollars pour TMC (toutes deux largement dues aux charges d’intérêts qui ne sont plus capitalisées et sont désormais inclues dans le compte de résultat des deux entités). CHHC a légèrement compensé les pertes globales en générant un revenu d’environ 82 millions de dollars.</w:t>
      </w:r>
      <w:r w:rsidR="00AD6761" w:rsidRPr="00AF76C7">
        <w:rPr>
          <w:rFonts w:asciiTheme="minorHAnsi" w:hAnsiTheme="minorHAnsi"/>
        </w:rPr>
        <w:t xml:space="preserve"/>
      </w:r>
      <w:r w:rsidRPr="00AF76C7">
        <w:rPr>
          <w:rFonts w:asciiTheme="minorHAnsi" w:hAnsiTheme="minorHAnsi"/>
        </w:rPr>
        <w:t xml:space="preserve"/>
      </w:r>
      <w:r w:rsidR="003A75EF" w:rsidRPr="00AF76C7">
        <w:rPr>
          <w:rFonts w:asciiTheme="minorHAnsi" w:hAnsiTheme="minorHAnsi"/>
        </w:rPr>
        <w:t/>
      </w:r>
      <w:r w:rsidR="00CF6BC3" w:rsidRPr="00AF76C7">
        <w:rPr>
          <w:rFonts w:asciiTheme="minorHAnsi" w:hAnsiTheme="minorHAnsi"/>
        </w:rPr>
        <w:t/>
      </w:r>
      <w:r w:rsidR="00AA4D79" w:rsidRPr="00AF76C7">
        <w:rPr>
          <w:rFonts w:asciiTheme="minorHAnsi" w:hAnsiTheme="minorHAnsi"/>
        </w:rPr>
        <w:t/>
      </w:r>
      <w:r w:rsidR="00CF6BC3" w:rsidRPr="00AF76C7">
        <w:rPr>
          <w:rFonts w:asciiTheme="minorHAnsi" w:hAnsiTheme="minorHAnsi"/>
        </w:rPr>
        <w:t xml:space="preserve"/>
      </w:r>
      <w:r w:rsidR="00970606" w:rsidRPr="00AF76C7">
        <w:rPr>
          <w:rFonts w:asciiTheme="minorHAnsi" w:hAnsiTheme="minorHAnsi"/>
        </w:rPr>
        <w:t xml:space="preserve"/>
      </w:r>
      <w:r w:rsidR="006E2D99" w:rsidRPr="00AF76C7">
        <w:rPr>
          <w:rFonts w:asciiTheme="minorHAnsi" w:hAnsiTheme="minorHAnsi"/>
        </w:rPr>
        <w:t/>
      </w:r>
      <w:r w:rsidRPr="00AF76C7">
        <w:rPr>
          <w:rFonts w:asciiTheme="minorHAnsi" w:hAnsiTheme="minorHAnsi"/>
        </w:rPr>
        <w:t xml:space="preserve"/>
      </w:r>
      <w:r w:rsidR="00A239EB" w:rsidRPr="00AF76C7">
        <w:rPr>
          <w:rFonts w:asciiTheme="minorHAnsi" w:hAnsiTheme="minorHAnsi"/>
        </w:rPr>
        <w:t xml:space="preserve"/>
      </w:r>
      <w:r w:rsidR="00955CFD" w:rsidRPr="00AF76C7">
        <w:rPr>
          <w:rFonts w:asciiTheme="minorHAnsi" w:hAnsiTheme="minorHAnsi"/>
        </w:rPr>
        <w:t xml:space="preserve"/>
      </w:r>
      <w:r w:rsidR="00173A63" w:rsidRPr="00AF76C7">
        <w:rPr>
          <w:rFonts w:asciiTheme="minorHAnsi" w:hAnsiTheme="minorHAnsi"/>
        </w:rPr>
        <w:t xml:space="preserve"/>
      </w:r>
      <w:r w:rsidR="00F21E8D" w:rsidRPr="00AF76C7">
        <w:rPr>
          <w:rFonts w:asciiTheme="minorHAnsi" w:hAnsiTheme="minorHAnsi"/>
        </w:rPr>
        <w:t xml:space="preserve"/>
      </w:r>
      <w:r w:rsidR="00EF1A41" w:rsidRPr="00AF76C7">
        <w:rPr>
          <w:rFonts w:asciiTheme="minorHAnsi" w:hAnsiTheme="minorHAnsi"/>
        </w:rPr>
        <w:t/>
      </w:r>
      <w:r w:rsidR="006E2D99" w:rsidRPr="00AF76C7">
        <w:rPr>
          <w:rFonts w:asciiTheme="minorHAnsi" w:hAnsiTheme="minorHAnsi"/>
        </w:rPr>
        <w:t/>
      </w:r>
      <w:r w:rsidR="00A25E2F" w:rsidRPr="00AF76C7">
        <w:rPr>
          <w:rFonts w:asciiTheme="minorHAnsi" w:hAnsiTheme="minorHAnsi"/>
        </w:rPr>
        <w:t/>
      </w:r>
      <w:r w:rsidR="006E2D99" w:rsidRPr="00AF76C7">
        <w:rPr>
          <w:rFonts w:asciiTheme="minorHAnsi" w:hAnsiTheme="minorHAnsi"/>
        </w:rPr>
        <w:t xml:space="preserve"/>
      </w:r>
      <w:r w:rsidR="00DE3FA0" w:rsidRPr="00AF76C7">
        <w:rPr>
          <w:rFonts w:asciiTheme="minorHAnsi" w:hAnsiTheme="minorHAnsi"/>
        </w:rPr>
        <w:t/>
      </w:r>
      <w:r w:rsidR="00CF6BC3" w:rsidRPr="00AF76C7">
        <w:rPr>
          <w:rFonts w:asciiTheme="minorHAnsi" w:hAnsiTheme="minorHAnsi"/>
        </w:rPr>
        <w:t xml:space="preserve"/>
      </w:r>
      <w:r w:rsidR="006E2D99" w:rsidRPr="00AF76C7">
        <w:rPr>
          <w:rFonts w:asciiTheme="minorHAnsi" w:hAnsiTheme="minorHAnsi"/>
        </w:rPr>
        <w:t xml:space="preserve"/>
      </w:r>
      <w:r w:rsidR="00CF6BC3" w:rsidRPr="00AF76C7">
        <w:rPr>
          <w:rFonts w:asciiTheme="minorHAnsi" w:hAnsiTheme="minorHAnsi"/>
        </w:rPr>
        <w:t xml:space="preserve"/>
      </w:r>
      <w:r w:rsidR="00A239EB" w:rsidRPr="00AF76C7">
        <w:rPr>
          <w:rFonts w:asciiTheme="minorHAnsi" w:hAnsiTheme="minorHAnsi"/>
        </w:rPr>
        <w:t/>
      </w:r>
      <w:r w:rsidR="00697C9D" w:rsidRPr="00AF76C7">
        <w:rPr>
          <w:rFonts w:asciiTheme="minorHAnsi" w:hAnsiTheme="minorHAnsi"/>
        </w:rPr>
        <w:t xml:space="preserve"/>
      </w:r>
      <w:r w:rsidR="00CF6BC3" w:rsidRPr="00AF76C7">
        <w:rPr>
          <w:rFonts w:asciiTheme="minorHAnsi" w:hAnsiTheme="minorHAnsi"/>
        </w:rPr>
        <w:t xml:space="preserve"/>
      </w:r>
      <w:r w:rsidR="00697C9D" w:rsidRPr="00AF76C7">
        <w:rPr>
          <w:rFonts w:asciiTheme="minorHAnsi" w:hAnsiTheme="minorHAnsi"/>
        </w:rPr>
        <w:t xml:space="preserve"/>
      </w:r>
      <w:r w:rsidR="004414E9" w:rsidRPr="00AF76C7">
        <w:rPr>
          <w:rFonts w:asciiTheme="minorHAnsi" w:hAnsiTheme="minorHAnsi"/>
        </w:rPr>
        <w:t/>
      </w:r>
      <w:r w:rsidR="006E2D99" w:rsidRPr="00AF76C7">
        <w:rPr>
          <w:rFonts w:asciiTheme="minorHAnsi" w:hAnsiTheme="minorHAnsi"/>
        </w:rPr>
        <w:t xml:space="preserve"/>
      </w:r>
      <w:r w:rsidRPr="00AF76C7">
        <w:rPr>
          <w:rFonts w:asciiTheme="minorHAnsi" w:hAnsiTheme="minorHAnsi"/>
        </w:rPr>
        <w:t xml:space="preserve"/>
      </w:r>
      <w:r w:rsidR="000D783C" w:rsidRPr="00AF76C7">
        <w:rPr>
          <w:rFonts w:asciiTheme="minorHAnsi" w:hAnsiTheme="minorHAnsi"/>
        </w:rPr>
        <w:t xml:space="preserve"/>
      </w:r>
      <w:r w:rsidR="001926B5" w:rsidRPr="00AF76C7">
        <w:rPr>
          <w:rFonts w:asciiTheme="minorHAnsi" w:hAnsiTheme="minorHAnsi"/>
        </w:rPr>
        <w:t/>
      </w:r>
      <w:r w:rsidR="000D783C" w:rsidRPr="00AF76C7">
        <w:rPr>
          <w:rFonts w:asciiTheme="minorHAnsi" w:hAnsiTheme="minorHAnsi"/>
        </w:rPr>
        <w:t xml:space="preserve"/>
      </w:r>
      <w:r w:rsidR="00BA0FED" w:rsidRPr="00AF76C7">
        <w:rPr>
          <w:rFonts w:asciiTheme="minorHAnsi" w:hAnsiTheme="minorHAnsi"/>
        </w:rPr>
        <w:t xml:space="preserve"/>
      </w:r>
      <w:r w:rsidRPr="00AF76C7">
        <w:rPr>
          <w:rFonts w:asciiTheme="minorHAnsi" w:hAnsiTheme="minorHAnsi"/>
        </w:rPr>
        <w:t xml:space="preserve"/>
      </w:r>
      <w:r w:rsidR="00A25E2F" w:rsidRPr="00AF76C7">
        <w:rPr>
          <w:rFonts w:asciiTheme="minorHAnsi" w:hAnsiTheme="minorHAnsi"/>
        </w:rPr>
        <w:t xml:space="preserve"/>
      </w:r>
      <w:r w:rsidR="003A75EF" w:rsidRPr="00AF76C7">
        <w:rPr>
          <w:rFonts w:asciiTheme="minorHAnsi" w:hAnsiTheme="minorHAnsi"/>
        </w:rPr>
        <w:t/>
      </w:r>
      <w:r w:rsidR="00350608" w:rsidRPr="00AF76C7">
        <w:rPr>
          <w:rFonts w:asciiTheme="minorHAnsi" w:hAnsiTheme="minorHAnsi"/>
        </w:rPr>
        <w:t xml:space="preserve"/>
      </w:r>
      <w:r w:rsidR="003A75EF" w:rsidRPr="00AF76C7">
        <w:rPr>
          <w:rFonts w:asciiTheme="minorHAnsi" w:hAnsiTheme="minorHAnsi"/>
        </w:rPr>
        <w:t/>
      </w:r>
      <w:r w:rsidR="00A64313" w:rsidRPr="00AF76C7">
        <w:rPr>
          <w:rFonts w:asciiTheme="minorHAnsi" w:hAnsiTheme="minorHAnsi"/>
        </w:rPr>
        <w:t/>
      </w:r>
      <w:r w:rsidRPr="00AF76C7">
        <w:rPr>
          <w:rFonts w:asciiTheme="minorHAnsi" w:hAnsiTheme="minorHAnsi"/>
        </w:rPr>
        <w:t xml:space="preserve"/>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Voir l’Annexe A-2 pour les projections financières pro forma (les montants peuvent ne pas correspondre en raison d’arrondis) :</w:t>
      </w:r>
      <w:r w:rsidR="00AF76C7">
        <w:t/>
      </w:r>
      <w:r w:rsidR="00814390">
        <w:t/>
      </w:r>
      <w:r w:rsidRPr="00AF76C7">
        <w:t xml:space="preserve"/>
      </w:r>
      <w:r w:rsidR="00574D44" w:rsidRPr="00AF76C7">
        <w:t xml:space="preserve"/>
      </w:r>
      <w:r w:rsidR="003E5C6B" w:rsidRPr="00AF76C7">
        <w:t/>
      </w:r>
    </w:p>
    <w:p w14:paraId="13499ED7" w14:textId="77777777" w:rsidR="009E5591" w:rsidRPr="00AF76C7" w:rsidRDefault="003E5C6B" w:rsidP="00443804">
      <w:pPr>
        <w:spacing w:after="0" w:line="240" w:lineRule="auto"/>
      </w:pPr>
      <w:r w:rsidRPr="00AF76C7">
        <w:tab/>
        <w:t xml:space="preserve">Annexe 1 - États consolidés de la situation financière</w:t>
      </w:r>
      <w:r w:rsidR="009E5591" w:rsidRPr="00AF76C7">
        <w:t/>
      </w:r>
    </w:p>
    <w:p w14:paraId="4D2B1CD1" w14:textId="43E3D534" w:rsidR="009E5591" w:rsidRPr="00AF76C7" w:rsidRDefault="009E5591" w:rsidP="00443804">
      <w:pPr>
        <w:spacing w:after="0" w:line="240" w:lineRule="auto"/>
        <w:ind w:firstLine="720"/>
      </w:pPr>
      <w:r w:rsidRPr="00AF76C7">
        <w:t xml:space="preserve">Annexe 2 – États consolidés des flux de trésorerie</w:t>
      </w:r>
    </w:p>
    <w:p w14:paraId="63842F72" w14:textId="77777777" w:rsidR="00F542F5" w:rsidRDefault="009E5591" w:rsidP="00443804">
      <w:pPr>
        <w:spacing w:after="0" w:line="240" w:lineRule="auto"/>
        <w:ind w:left="720"/>
      </w:pPr>
      <w:r w:rsidRPr="00AF76C7">
        <w:t xml:space="preserve">Annexe 3 – États consolidés des variations des capitaux propres</w:t>
      </w:r>
    </w:p>
    <w:p w14:paraId="7B6D7455" w14:textId="440734DF" w:rsidR="009E5591" w:rsidRPr="00AF76C7" w:rsidRDefault="009E5591" w:rsidP="00443804">
      <w:pPr>
        <w:spacing w:after="0" w:line="240" w:lineRule="auto"/>
        <w:ind w:left="720"/>
      </w:pPr>
      <w:r w:rsidRPr="00AF76C7">
        <w:t xml:space="preserve">Annexe 4 – États consolidés de résultat global</w:t>
      </w:r>
    </w:p>
    <w:p w14:paraId="180FFEB0" w14:textId="47FE220F" w:rsidR="003E5C6B" w:rsidRDefault="009E5591" w:rsidP="00443804">
      <w:pPr>
        <w:spacing w:after="0" w:line="240" w:lineRule="auto"/>
        <w:ind w:left="720"/>
      </w:pPr>
      <w:r w:rsidRPr="00AF76C7">
        <w:t>Annexe 5 – État des activités</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projections de CEEFC et CGF</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À des fins comptables, la direction de CDEV a effectué une analyse de CEEFC et CGF pour déterminer si les résultats financiers de CEEFC ou de CGF doivent être consolidés selon les critères définis dans les IFRS 10. Elle a conclu que CDEV n’exerce pas un contrôle suffisant sur la capacité de CEEFC ou CGF à influencer les retours économiques de ces entités. Pour ces raisons, CDEV n’a pas intégré les informations financières de CEEFC ou CGF dans les projections financières consolidées dans ce plan. Les résultats de CEEFC sont présentés dans l’Annexe B, et les résultats de CGF se trouvent dans l’Annexe C.</w:t>
      </w:r>
      <w:r w:rsidR="00836341">
        <w:t xml:space="preserve"/>
      </w:r>
      <w:r w:rsidRPr="00304631">
        <w:t xml:space="preserve"/>
      </w:r>
      <w:r w:rsidR="00836341">
        <w:t xml:space="preserve"/>
      </w:r>
      <w:r w:rsidRPr="00304631">
        <w:t xml:space="preserve"/>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CEEFC gérera son portefeuille d’actifs pendant la période du plan via des remboursements de prêts et des ventes d’actifs, les fonds excédentaires étant retournés au gouvernement.</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d’entreprise de CGF, CGFIM estime que CGF prendra des engagements totalisant environ 2,6 milliards de dollars pour l’année se terminant le 31 décembre 2024. En termes de financement, CGF devrait avoir reçu un total cumulatif de 4,4 milliards de dollars en produits nets provenant de l’émission d’actions privilégiées pour les exercices 2023 et 2024, en utilisant ces produits nets pour financer les opérations d’investissement de CGF, ainsi que pour couvrir ses frais.</w:t>
      </w:r>
      <w:r w:rsidR="00B17E75" w:rsidRPr="000905E0">
        <w:t/>
      </w:r>
      <w:r w:rsidR="00F20601">
        <w:t xml:space="preserve"/>
      </w:r>
      <w:r w:rsidR="00F20601" w:rsidRPr="00B304C8">
        <w:t/>
      </w:r>
      <w:r w:rsidR="001D0EDD" w:rsidRPr="00B304C8">
        <w:t/>
      </w:r>
      <w:r w:rsidR="00B17E75" w:rsidRPr="00B304C8">
        <w:rPr>
          <w:i/>
        </w:rPr>
        <w:t xml:space="preserve"/>
      </w:r>
      <w:r w:rsidR="00B17E75" w:rsidRPr="00B304C8">
        <w:t/>
      </w:r>
      <w:r w:rsidR="00B17E75" w:rsidRPr="000905E0">
        <w:t xml:space="preserve"/>
      </w:r>
      <w:r w:rsidR="000A6E48">
        <w:t/>
      </w:r>
      <w:r w:rsidR="00B17E75" w:rsidRPr="000905E0">
        <w:t xml:space="preserve"/>
      </w:r>
      <w:r w:rsidR="00F20601">
        <w:t xml:space="preserve"/>
      </w:r>
      <w:r w:rsidR="00B17E75" w:rsidRPr="000905E0">
        <w:t xml:space="preserve"/>
      </w:r>
      <w:r w:rsidR="00A57A24">
        <w:t/>
      </w:r>
      <w:r w:rsidR="00554749">
        <w:t xml:space="preserve"/>
      </w:r>
      <w:r w:rsidR="00A57A24">
        <w:t xml:space="preserve"/>
      </w:r>
      <w:r w:rsidR="000E0CFE">
        <w:t/>
      </w:r>
      <w:r w:rsidR="00B17E75" w:rsidRPr="000905E0">
        <w:t xml:space="preserve"/>
      </w:r>
      <w:r w:rsidR="00B17E75" w:rsidRPr="00B304C8">
        <w:t/>
      </w:r>
      <w:r w:rsidR="002E5B80" w:rsidRPr="00B304C8">
        <w:t/>
      </w:r>
      <w:r w:rsidR="00B17E75" w:rsidRPr="00B304C8">
        <w:t xml:space="preserve"/>
      </w:r>
      <w:r w:rsidR="00B17E75" w:rsidRPr="000905E0">
        <w:t xml:space="preserve"/>
      </w:r>
      <w:r w:rsidR="00554749">
        <w:t xml:space="preserve"/>
      </w:r>
      <w:r w:rsidR="00B17E75" w:rsidRPr="000905E0">
        <w:t xml:space="preserve"/>
      </w:r>
      <w:r w:rsidR="000E0CFE">
        <w:t xml:space="preserve"/>
      </w:r>
      <w:r w:rsidR="000C74E7">
        <w:t/>
      </w:r>
      <w:r w:rsidR="00B17E75" w:rsidRPr="000905E0">
        <w:t xml:space="preserve"/>
      </w:r>
      <w:r w:rsidR="00DC59FF">
        <w:t/>
      </w:r>
      <w:r w:rsidR="00B17E75" w:rsidRPr="000905E0">
        <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Dividendes et gestion des excédents de trésorerie</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avoir reçu les dividendes de CHHC et les paiements NPI, CDEV évalue ses besoins en trésorerie à venir. Conformément à sa pratique de gestion des dividendes et des excédents de trésorerie, CDEV conserve des niveaux de trésorerie suffisants pour garantir son fonctionnement, remplir les mandats du gouvernement et couvrir d’éventuelles contingences. Les excédents de trésorerie restants sont versés sous forme de dividendes au gouvernement.</w:t>
      </w:r>
      <w:r w:rsidR="0081058C">
        <w:t xml:space="preserve"/>
      </w:r>
      <w:r w:rsidRPr="003A00A6">
        <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5.2 Rapports financiers trimestriels</w:t>
      </w:r>
      <w:r w:rsidR="00F92ED2" w:rsidRPr="002B22D6">
        <w:rPr>
          <w:rFonts w:asciiTheme="minorHAnsi" w:hAnsiTheme="minorHAnsi"/>
        </w:rPr>
        <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Nous publions des états financiers trimestriels, disponibles en anglais et en français sur notre site Web (www.cdev.gc.ca) dans les 60 jours suivant la fin d’un trimestre. CEEFC et CGF publient également leurs états financiers trimestriels et annuels dans les deux langues officielles sur leurs sites respectifs : www.ceefc-cfuec.ca et www.cgf-fcc.ca.</w:t>
      </w:r>
      <w:hyperlink r:id="rId12" w:history="1">
        <w:r w:rsidR="009E6FEA" w:rsidRPr="002B22D6">
          <w:rPr>
            <w:rStyle w:val="Hyperlink"/>
            <w:rFonts w:cs="Arial"/>
          </w:rPr>
          <w:t/>
        </w:r>
      </w:hyperlink>
      <w:r w:rsidR="009E6FEA" w:rsidRPr="002B22D6">
        <w:rPr>
          <w:rFonts w:cs="Arial"/>
        </w:rPr>
        <w:t/>
      </w:r>
      <w:r w:rsidRPr="002B22D6">
        <w:rPr>
          <w:rFonts w:cs="Arial"/>
        </w:rPr>
        <w:t xml:space="preserve"/>
      </w:r>
      <w:r w:rsidR="00D71DC3" w:rsidRPr="002B22D6">
        <w:rPr>
          <w:rFonts w:cs="Arial"/>
        </w:rPr>
        <w:t xml:space="preserve"/>
      </w:r>
      <w:r w:rsidRPr="002B22D6">
        <w:rPr>
          <w:rFonts w:cs="Arial"/>
        </w:rPr>
        <w:t xml:space="preserve"/>
      </w:r>
      <w:r w:rsidR="00F764F4" w:rsidRPr="002B22D6">
        <w:rPr>
          <w:rFonts w:cs="Arial"/>
        </w:rPr>
        <w:t xml:space="preserve"/>
      </w:r>
      <w:r w:rsidR="009E6FEA" w:rsidRPr="002B22D6">
        <w:rPr>
          <w:rFonts w:cs="Arial"/>
        </w:rPr>
        <w:t/>
      </w:r>
      <w:r w:rsidR="00283017" w:rsidRPr="002B22D6">
        <w:rPr>
          <w:rFonts w:cs="Arial"/>
        </w:rPr>
        <w:t xml:space="preserve"/>
      </w:r>
      <w:hyperlink r:id="rId13" w:history="1">
        <w:r w:rsidRPr="002B22D6">
          <w:rPr>
            <w:rStyle w:val="Hyperlink"/>
            <w:rFonts w:cs="Arial"/>
          </w:rPr>
          <w:t/>
        </w:r>
      </w:hyperlink>
      <w:r w:rsidR="00F422B1" w:rsidRPr="002B22D6">
        <w:rPr>
          <w:rFonts w:cs="Arial"/>
        </w:rPr>
        <w:t xml:space="preserve"/>
      </w:r>
      <w:hyperlink r:id="rId14" w:history="1">
        <w:r w:rsidR="00F422B1" w:rsidRPr="002B22D6">
          <w:rPr>
            <w:rStyle w:val="Hyperlink"/>
            <w:rFonts w:cs="Arial"/>
          </w:rPr>
          <w:t/>
        </w:r>
      </w:hyperlink>
      <w:r w:rsidR="00283017" w:rsidRPr="002B22D6">
        <w:rPr>
          <w:rFonts w:cs="Arial"/>
        </w:rPr>
        <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5.3 Commentaires, faits saillants et hypothèses clés dans les projections financières</w:t>
      </w:r>
      <w:r w:rsidR="007F5F5E" w:rsidRPr="002B22D6">
        <w:rPr>
          <w:rFonts w:asciiTheme="minorHAnsi" w:hAnsiTheme="minorHAnsi"/>
        </w:rPr>
        <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quelques faits saillants des projections de base actuelles. Avant de se pencher sur certains résultats, il convient de noter quelques hypothèses critiques ainsi que certains éléments clés qui demeurent en suspens.</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5.3.1 Points en suspens</w:t>
      </w:r>
      <w:r w:rsidR="00B66D10">
        <w:t xml:space="preserve"/>
      </w:r>
      <w:r w:rsidR="1AF9E38D">
        <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Les projections pour Telesat et ILGP ne sont pas encore finalisées en raison d’incertitudes concernant le calendrier et l’ampleur des résultats financiers. L’hypothèse est que la filiale Telesat sera probablement comptabilisée selon les IFRS et consolidée dans le Groupe de sociétés de CDEV ; cependant, la détermination du traitement comptable d’ILGP n’a pas encore été menée en raison de certaines inconnues récentes liées aux détails opérationnels.</w:t>
      </w:r>
      <w:r w:rsidR="1AF9E38D">
        <w:t xml:space="preserve"/>
      </w:r>
      <w:r w:rsidR="00F5271C">
        <w:t/>
      </w:r>
      <w:r w:rsidR="00F63D92">
        <w:t xml:space="preserve"/>
      </w:r>
      <w:r w:rsidR="1AF9E38D">
        <w:t xml:space="preserve"/>
      </w:r>
      <w:r w:rsidR="00F5271C">
        <w:t xml:space="preserve"/>
      </w:r>
      <w:r w:rsidR="1AF9E38D">
        <w:t xml:space="preserve"/>
      </w:r>
      <w:r w:rsidR="00F5271C">
        <w:t/>
      </w:r>
      <w:r w:rsidR="001331CA">
        <w:t xml:space="preserve"/>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le traitement comptable final pour les deux entités sont actuellement en cours et dépendront des faits et circonstances détaillés de leurs opérations, y compris la source et les conditions des emprunts et des prêts, le porteur ultime des risques, ainsi que le décisionnaire et le niveau de contrôle. Ces travaux seront finalisés avant la fin de 2024.</w:t>
      </w:r>
      <w:r w:rsidR="001331CA" w:rsidRPr="001331CA">
        <w:t xml:space="preserve"/>
      </w:r>
      <w:r w:rsidR="001331CA">
        <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5.3.2 Hypothèses</w:t>
      </w:r>
      <w:r w:rsidR="00E54866">
        <w:t xml:space="preserve"/>
      </w:r>
      <w:r w:rsidR="1AF9E38D">
        <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Étant donné les principaux éléments en suspens mentionnés ci-dessus, certaines hypothèses ont dû être établies, et les prévisions financières sont complétées sur une base d’efforts optimaux.</w:t>
      </w:r>
      <w:r w:rsidR="0084562A">
        <w:t/>
      </w:r>
      <w:r>
        <w:t xml:space="preserve"/>
      </w:r>
      <w:r w:rsidR="008861A6">
        <w:t xml:space="preserve"/>
      </w:r>
      <w:r>
        <w:t xml:space="preserve"/>
      </w:r>
      <w:r w:rsidR="008861A6">
        <w:t/>
      </w:r>
      <w:r>
        <w:t/>
      </w:r>
      <w:r w:rsidR="008861A6">
        <w:t/>
      </w:r>
    </w:p>
    <w:p w14:paraId="654413F7" w14:textId="40C43DAE" w:rsidR="002C0D7D" w:rsidRDefault="00F91574" w:rsidP="00C014C5">
      <w:pPr>
        <w:pStyle w:val="ListParagraph"/>
        <w:numPr>
          <w:ilvl w:val="0"/>
          <w:numId w:val="29"/>
        </w:numPr>
        <w:spacing w:after="0" w:line="240" w:lineRule="auto"/>
      </w:pPr>
      <w:r>
        <w:t xml:space="preserve">Pour TMC, un refinancement recapitalisera TMC avec une structure de capital habituelle comprenant un financement gouvernemental, réduisant le coût global du capital et incluant le remplacement de l'installation bancaire EP4 par 18,5 milliards de dollars de prêts gouvernementaux. Les fonds provenant des prêts gouvernementaux seront investis par TMP Finance dans TMC sous forme de souscription à un nouveau capital de 15 milliards de dollars et d’un prêt de 3,5 milliards de dollars selon des modalités similaires à celles des prêts existants de TMP Finance.</w:t>
      </w:r>
      <w:r w:rsidR="1AF9E38D">
        <w:t/>
      </w:r>
      <w:r w:rsidR="00C014C5">
        <w:t/>
      </w:r>
      <w:r w:rsidR="1AF9E38D">
        <w:t xml:space="preserve"/>
      </w:r>
      <w:r w:rsidR="00C014C5">
        <w:t/>
      </w:r>
      <w:r w:rsidR="00D96373" w:rsidRPr="00C014C5">
        <w:t xml:space="preserve"/>
      </w:r>
      <w:r w:rsidR="00D96373">
        <w:t xml:space="preserve"/>
      </w:r>
      <w:r w:rsidR="00D96373" w:rsidRPr="00C014C5">
        <w:t/>
      </w:r>
      <w:r w:rsidR="00D96373">
        <w:t/>
      </w:r>
      <w:r w:rsidR="002C0D7D">
        <w:t xml:space="preserve"/>
      </w:r>
      <w:r w:rsidR="00D96373" w:rsidRPr="00C014C5">
        <w:t xml:space="preserve"/>
      </w:r>
      <w:r w:rsidR="00315C22">
        <w:t/>
      </w:r>
      <w:r w:rsidR="00315C22" w:rsidRPr="00C014C5">
        <w:t xml:space="preserve"/>
      </w:r>
      <w:r w:rsidR="00315C22">
        <w:t/>
      </w:r>
      <w:r w:rsidR="00D96373" w:rsidRPr="00C014C5">
        <w:t xml:space="preserve"/>
      </w:r>
      <w:r w:rsidR="002C0D7D">
        <w:t/>
      </w:r>
      <w:r w:rsidR="00D96373" w:rsidRPr="00C014C5">
        <w:t xml:space="preserve"/>
      </w:r>
      <w:r w:rsidR="00315C22">
        <w:t/>
      </w:r>
      <w:r w:rsidR="00315C22" w:rsidRPr="00C014C5">
        <w:t xml:space="preserve"/>
      </w:r>
      <w:r w:rsidR="00315C22">
        <w:t/>
      </w:r>
      <w:r w:rsidR="00315C22" w:rsidRPr="00C014C5">
        <w:t/>
      </w:r>
      <w:r w:rsidR="00315C22" w:rsidRPr="00C014C5" w:rsidDel="00315C22">
        <w:t xml:space="preserve"/>
      </w:r>
      <w:r w:rsidR="008C48B6">
        <w:t/>
      </w:r>
      <w:r w:rsidR="00D96373" w:rsidRPr="00C014C5">
        <w:t xml:space="preserve"/>
      </w:r>
      <w:r w:rsidR="00071278">
        <w:t/>
      </w:r>
      <w:r w:rsidR="00D96373" w:rsidRPr="00C014C5">
        <w:t xml:space="preserve"/>
      </w:r>
    </w:p>
    <w:p w14:paraId="35D5FB7D" w14:textId="35CCC8F7" w:rsidR="002C0D7D" w:rsidRDefault="00D96373" w:rsidP="00C014C5">
      <w:pPr>
        <w:pStyle w:val="ListParagraph"/>
        <w:numPr>
          <w:ilvl w:val="0"/>
          <w:numId w:val="29"/>
        </w:numPr>
        <w:spacing w:after="0" w:line="240" w:lineRule="auto"/>
      </w:pPr>
      <w:r w:rsidRPr="00C014C5">
        <w:t xml:space="preserve">Aucune vente de TMC n’est envisagée, et une participation autochtone sous la forme d’une prise de participation n’est pas reflétée dans le Plan d’entreprise 2025, car les détails de la transaction ne sont pas encore définis pour pouvoir modéliser les implications comptables.</w:t>
      </w:r>
      <w:r w:rsidR="00315C22">
        <w:t xml:space="preserve"/>
      </w:r>
      <w:r w:rsidRPr="00C014C5">
        <w:t xml:space="preserve"/>
      </w:r>
      <w:r w:rsidR="00315C22">
        <w:t/>
      </w:r>
      <w:r w:rsidRPr="00C014C5">
        <w:t xml:space="preserve"/>
      </w:r>
      <w:r w:rsidR="00D67FD8">
        <w:t/>
      </w:r>
      <w:r w:rsidR="006719D7">
        <w:t xml:space="preserve"/>
      </w:r>
      <w:r w:rsidR="002F274A">
        <w:t xml:space="preserve"/>
      </w:r>
      <w:proofErr w:type="gramStart"/>
      <w:r w:rsidR="002F274A">
        <w:t/>
      </w:r>
      <w:proofErr w:type="gramEnd"/>
      <w:r w:rsidR="002F274A">
        <w:t xml:space="preserve"/>
      </w:r>
      <w:r w:rsidR="003046EE">
        <w:t xml:space="preserve"/>
      </w:r>
      <w:r w:rsidR="00444A45">
        <w:t/>
      </w:r>
      <w:r w:rsidR="00EE7486">
        <w:t/>
      </w:r>
    </w:p>
    <w:p w14:paraId="160A50F0" w14:textId="739B6353" w:rsidR="00BC34E6" w:rsidRDefault="1AF9E38D" w:rsidP="00C014C5">
      <w:pPr>
        <w:pStyle w:val="ListParagraph"/>
        <w:numPr>
          <w:ilvl w:val="0"/>
          <w:numId w:val="29"/>
        </w:numPr>
        <w:spacing w:after="0" w:line="240" w:lineRule="auto"/>
      </w:pPr>
      <w:r>
        <w:t>Les flux de trésorerie de chaque entité individuelle sont épuisés jusqu’à un niveau offrant une marge de sécurité et garantissant que l’organisation (principalement CDEV) puisse continuer à répondre à ses mandats futurs ou à des dépenses imprévues susceptibles d’être nécessaires.</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5.3.3 Points saillants et discussion</w:t>
      </w:r>
      <w:r w:rsidR="008659F4">
        <w:t xml:space="preserve"/>
      </w:r>
      <w:r w:rsidR="1AF9E38D">
        <w:t xml:space="preserve"/>
      </w:r>
      <w:r w:rsidR="007876EF">
        <w:t/>
      </w:r>
      <w:r w:rsidR="1AF9E38D">
        <w:t xml:space="preserve"/>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Les prévisions pour 2024 devraient voir nos revenus consolidés globaux augmenter de plus de 140 % par rapport à 2023 (892 millions de dollars à 2 370 millions de dollars, excluant « Autres »). Cette forte augmentation des revenus est attribuée à la mise en service de TMC en mai 2024. Nous continuerons à constater une augmentation des revenus de TMC jusqu’en 2025 (+45 % par rapport à 2024), avant qu’ils ne se stabilisent à un taux de croissance normalisé à partir de 2026, avec un taux de croissance moyen après 2025 d’environ 5 %.</w:t>
      </w:r>
      <w:r w:rsidR="00DA0F84">
        <w:t xml:space="preserve"/>
      </w:r>
      <w:r>
        <w:t/>
      </w:r>
      <w:r w:rsidR="00DA0F84">
        <w:t xml:space="preserve"/>
      </w:r>
      <w:r>
        <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En dépit de ces augmentations importantes des revenus, le groupe d’entreprises de CDEV restera dans une position de pertes nettes en raison des charges d’intérêts importantes désormais comptabilisées dans le compte de résultat (impact en trésorerie) ainsi que de la dépréciation liée au pipeline (élément hors trésorerie). TMC devrait devenir rentable en 2025, en raison du transfert de la dette de cette entité juridique à sa société mère (TMP Finance), qui assumera la charge des intérêts du point de vue des flux de trésorerie. Le groupe d’entreprises de CDEV devrait maintenir une position de trésorerie saine globalement pour la période couverte par le plan. De son côté, CDEV en tant qu’entité indépendante ne sera rentable qu’en 2029 en raison de la prise en compte négative de l’équité provenant des pertes nettes de TMP.</w:t>
      </w:r>
      <w:r w:rsidR="00F7403B">
        <w:t xml:space="preserve"/>
      </w:r>
      <w:r>
        <w:t xml:space="preserve"/>
      </w:r>
      <w:r w:rsidR="00626349">
        <w:t xml:space="preserve"/>
      </w:r>
      <w:r w:rsidR="00D06D7C">
        <w:t/>
      </w:r>
      <w:r w:rsidR="006A1FFF">
        <w:t xml:space="preserve"/>
      </w:r>
      <w:r w:rsidR="00D352E4">
        <w:t xml:space="preserve"/>
      </w:r>
      <w:r>
        <w:t/>
      </w:r>
      <w:r w:rsidR="00B812E7">
        <w:t/>
      </w:r>
      <w:r>
        <w:t xml:space="preserve"/>
      </w:r>
      <w:r w:rsidR="00B812E7">
        <w:t/>
      </w:r>
      <w:r>
        <w:t xml:space="preserve"/>
      </w:r>
      <w:r w:rsidR="00474E95">
        <w:t xml:space="preserve"/>
      </w:r>
      <w:r w:rsidR="00D352E4">
        <w:t/>
      </w:r>
      <w:r w:rsidR="00474E95">
        <w:t xml:space="preserve"/>
      </w:r>
      <w:r w:rsidR="00ED5071">
        <w:t xml:space="preserve"/>
      </w:r>
      <w:r w:rsidR="00354CDF">
        <w:t xml:space="preserve"/>
      </w:r>
      <w:r w:rsidR="003264E6">
        <w:t xml:space="preserve"/>
      </w:r>
      <w:r w:rsidR="00D14ACD">
        <w:t xml:space="preserve"/>
      </w:r>
      <w:r>
        <w:t xml:space="preserve"/>
      </w:r>
      <w:r w:rsidR="003264E6">
        <w:t/>
      </w:r>
      <w:r w:rsidR="007C6811">
        <w:t xml:space="preserve"/>
      </w:r>
      <w:r w:rsidR="00C52FB6">
        <w:t/>
      </w:r>
      <w:r w:rsidR="00ED5071">
        <w:t xml:space="preserve"/>
      </w:r>
      <w:r>
        <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5.4 Budget d’investissement</w:t>
      </w:r>
      <w:r w:rsidR="00CD2979" w:rsidRPr="002B22D6">
        <w:rPr>
          <w:rFonts w:asciiTheme="minorHAnsi" w:hAnsiTheme="minorHAnsi"/>
        </w:rPr>
        <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d’investissement</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 million</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Exercice 2023 (Réalisation)</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Plan 2024</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Prévisions 2024</w:t>
            </w:r>
            <w:proofErr w:type="spellStart"/>
            <w:r w:rsidRPr="000E5C61">
              <w:rPr>
                <w:rFonts w:ascii="Aptos" w:eastAsia="Times New Roman" w:hAnsi="Aptos" w:cs="Arial"/>
                <w:b/>
                <w:bCs/>
                <w:color w:val="FFFFFF"/>
                <w:kern w:val="0"/>
                <w:lang w:eastAsia="en-CA"/>
                <w14:ligatures w14:val="none"/>
              </w:rPr>
              <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Coûts de construction de TMC</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Coûts de contingence TMC</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dépenses en immobilisations pour maintenance</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Intérêts capitalisés TMC/TMP (IFRS)</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Construction (clôture de projet après 2024)</w:t>
            </w:r>
            <w:r w:rsidRPr="000E5C61">
              <w:rPr>
                <w:rFonts w:ascii="Aptos" w:eastAsia="Times New Roman" w:hAnsi="Aptos" w:cs="Arial"/>
                <w:color w:val="002060"/>
                <w:kern w:val="0"/>
                <w:lang w:eastAsia="en-CA"/>
                <w14:ligatures w14:val="none"/>
              </w:rPr>
              <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Telesat</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0,2 $</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(non consolidé - à titre informatif uniquement)</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2 600,0 $</w:t>
            </w:r>
            <w:r w:rsidR="003D27AE">
              <w:rPr>
                <w:rFonts w:ascii="Aptos" w:eastAsia="Times New Roman" w:hAnsi="Aptos" w:cs="Arial"/>
                <w:kern w:val="0"/>
                <w:lang w:eastAsia="en-CA"/>
                <w14:ligatures w14:val="none"/>
              </w:rPr>
              <w:t/>
            </w:r>
            <w:r w:rsidRPr="000E5C61">
              <w:rPr>
                <w:rFonts w:ascii="Aptos" w:eastAsia="Times New Roman" w:hAnsi="Aptos" w:cs="Arial"/>
                <w:kern w:val="0"/>
                <w:lang w:eastAsia="en-CA"/>
                <w14:ligatures w14:val="none"/>
              </w:rPr>
              <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(Groupe CDEV)</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10 649 $</w:t>
            </w:r>
            <w:r w:rsidR="00C93618">
              <w:rPr>
                <w:rFonts w:ascii="Aptos" w:eastAsia="Times New Roman" w:hAnsi="Aptos" w:cs="Arial"/>
                <w:b/>
                <w:bCs/>
                <w:kern w:val="0"/>
                <w:lang w:eastAsia="en-CA"/>
                <w14:ligatures w14:val="none"/>
              </w:rPr>
              <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3 069 $</w:t>
            </w:r>
            <w:r w:rsidR="4FCEACDC" w:rsidRPr="000E5C61">
              <w:rPr>
                <w:rFonts w:ascii="Aptos" w:eastAsia="Times New Roman" w:hAnsi="Aptos" w:cs="Arial"/>
                <w:b/>
                <w:bCs/>
                <w:kern w:val="0"/>
                <w:lang w:eastAsia="en-CA"/>
                <w14:ligatures w14:val="none"/>
              </w:rPr>
              <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TMP Finance et CEI ne participent pas à des activités nécessitant un fort capital et n'ont pas besoin de financement pour l'acquisition d'équipements ou autres pour l'exercice 2024.</w:t>
      </w:r>
      <w:r w:rsidR="001C1E38">
        <w:rPr>
          <w:rFonts w:cs="Arial"/>
        </w:rPr>
        <w:t/>
      </w:r>
      <w:r w:rsidRPr="002B22D6">
        <w:rPr>
          <w:rFonts w:cs="Arial"/>
        </w:rPr>
        <w:t xml:space="preserve"/>
      </w:r>
      <w:r w:rsidR="002E5DAC">
        <w:rPr>
          <w:rFonts w:cs="Arial"/>
        </w:rPr>
        <w:t/>
      </w:r>
      <w:r w:rsidRPr="002B22D6">
        <w:rPr>
          <w:rFonts w:cs="Arial"/>
        </w:rPr>
        <w:t xml:space="preserve"/>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Pour TMC, les dépenses en capital prévues en 2025 incluent 526 millions de dollars pour des questions liées à la phase post-construction de l'expansion du pipeline. Les 159 millions de dollars restants incluent environ 47 millions de dollars pour atténuer les risques naturels et préserver l'intégrité du système de pipeline ; environ 16 millions de dollars pour des activités d'abandon de pipeline (ultérieurement récupérés du fonds de réclamation des pipelines) ; environ 42 millions de dollars pour répondre aux exigences de conformité et à l'intégrité des installations, principalement des réservoirs ; environ 22 millions de dollars pour améliorer la fiabilité du système ; 19 millions de dollars pour la technologie (applications et matériel) et les communications ; 5 millions de dollars pour la sécurité (physique et cyber) ; et 9 millions de dollars pour les projets liés à la sécurité, la réponse aux urgences et l'environnement.</w:t>
      </w:r>
      <w:r w:rsidRPr="004C79CB">
        <w:rPr>
          <w:rFonts w:cs="Arial"/>
        </w:rPr>
        <w:t xml:space="preserve"/>
      </w:r>
      <w:r>
        <w:rPr>
          <w:rFonts w:cs="Arial"/>
        </w:rPr>
        <w:t/>
      </w:r>
      <w:r w:rsidRPr="004C79CB">
        <w:rPr>
          <w:rFonts w:cs="Arial"/>
        </w:rPr>
        <w:t xml:space="preserve"/>
      </w:r>
      <w:r w:rsidRPr="005749AF">
        <w:rPr>
          <w:rFonts w:cs="Arial"/>
        </w:rPr>
        <w:t/>
      </w:r>
      <w:r w:rsidR="00280AC0">
        <w:rPr>
          <w:rFonts w:cs="Arial"/>
        </w:rPr>
        <w:t/>
      </w:r>
      <w:r w:rsidRPr="005749AF">
        <w:rPr>
          <w:rFonts w:cs="Arial"/>
        </w:rPr>
        <w:t xml:space="preserve"/>
      </w:r>
      <w:r>
        <w:rPr>
          <w:rFonts w:cs="Arial"/>
        </w:rPr>
        <w:t xml:space="preserve"/>
      </w:r>
      <w:r w:rsidRPr="004C79CB">
        <w:rPr>
          <w:rFonts w:cs="Arial"/>
        </w:rPr>
        <w:t/>
      </w:r>
      <w:r>
        <w:rPr>
          <w:rFonts w:cs="Arial"/>
        </w:rPr>
        <w:t/>
      </w:r>
      <w:r w:rsidRPr="004C79CB">
        <w:rPr>
          <w:rFonts w:cs="Arial"/>
        </w:rPr>
        <w:t xml:space="preserve"/>
      </w:r>
      <w:r w:rsidR="00C841B4" w:rsidRPr="00D352E4">
        <w:rPr>
          <w:rFonts w:cs="Arial"/>
        </w:rPr>
        <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la prochaine création de l'ILGP, nous aurons besoin d'investissements supplémentaires dans des espaces de bureaux pour accueillir le personnel de cette nouvelle filiale. Le montant du bail n'est pas encore connu car aucun travail n'a été entrepris à ce jour pour acquérir l'espace, cependant, il est estimé qu'un bail de 5 ans coûtera probablement entre 2 et 5 millions de dollars pour cette période. L'extrémité supérieure de cette fourchette a été incluse dans le tableau ci-dessus par précaution et compte tenu de l'incertitude quant aux besoins du programme, toutefois, notre intention reste de maintenir une gestion des coûts efficace en tout temps.</w:t>
      </w:r>
      <w:r w:rsidR="00175E8A">
        <w:rPr>
          <w:rFonts w:cs="Arial"/>
        </w:rPr>
        <w:t xml:space="preserve"/>
      </w:r>
      <w:r w:rsidR="00780A6E">
        <w:rPr>
          <w:rFonts w:cs="Arial"/>
        </w:rPr>
        <w:t xml:space="preserve"/>
      </w:r>
      <w:r w:rsidR="00175E8A">
        <w:rPr>
          <w:rFonts w:cs="Arial"/>
        </w:rPr>
        <w:t/>
      </w:r>
      <w:r w:rsidR="005B4DC9">
        <w:rPr>
          <w:rFonts w:cs="Arial"/>
        </w:rPr>
        <w:t xml:space="preserve"/>
      </w:r>
      <w:r w:rsidR="00175E8A">
        <w:rPr>
          <w:rFonts w:cs="Arial"/>
        </w:rPr>
        <w:t/>
      </w:r>
      <w:r w:rsidR="00E97725">
        <w:rPr>
          <w:rFonts w:cs="Arial"/>
        </w:rPr>
        <w:t xml:space="preserve"/>
      </w:r>
      <w:r w:rsidR="009518DF">
        <w:rPr>
          <w:rFonts w:cs="Arial"/>
        </w:rPr>
        <w:t xml:space="preserve"/>
      </w:r>
      <w:r w:rsidR="004A18B2">
        <w:rPr>
          <w:rFonts w:cs="Arial"/>
        </w:rPr>
        <w:t xml:space="preserve"/>
      </w:r>
      <w:r w:rsidR="003D4B03">
        <w:rPr>
          <w:rFonts w:cs="Arial"/>
        </w:rPr>
        <w:t/>
      </w:r>
      <w:r w:rsidR="00554657">
        <w:rPr>
          <w:rFonts w:cs="Arial"/>
        </w:rPr>
        <w:t/>
      </w:r>
      <w:r w:rsidR="003D4B03">
        <w:rPr>
          <w:rFonts w:cs="Arial"/>
        </w:rPr>
        <w:t xml:space="preserve"/>
      </w:r>
      <w:r w:rsidR="00822AC9">
        <w:rPr>
          <w:rFonts w:cs="Arial"/>
        </w:rPr>
        <w:t/>
      </w:r>
      <w:r w:rsidR="00493CF3">
        <w:rPr>
          <w:rFonts w:cs="Arial"/>
        </w:rPr>
        <w:t xml:space="preserve"/>
      </w:r>
      <w:proofErr w:type="gramStart"/>
      <w:r w:rsidR="00493CF3">
        <w:rPr>
          <w:rFonts w:cs="Arial"/>
        </w:rPr>
        <w:t/>
      </w:r>
      <w:proofErr w:type="gramEnd"/>
      <w:r w:rsidR="00493CF3">
        <w:rPr>
          <w:rFonts w:cs="Arial"/>
        </w:rPr>
        <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autofinance ses dépenses en capital et dispose de capacités limitées pour influencer les engagements en capital qu'elle doit respecter en tant que propriétaire à 8,5 % du projet pétrolier Hibernia. Les projets sont entrepris sur une base de rentabilité commerciale, telle que décidée par une majorité des propriétaires intéressés. Une partie des dépenses en capital prend la forme de contrats de location. Le preneur est HMDC, qui n'est pas une filiale entièrement détenue par CDEV ou CHHC. Nous ne sollicitons donc pas d'approbation pour conclure ces contrats de location. Étant donné que CHHC n'a aucun droit d'utilisation de l'équipement loué, elle n'est pas tenue de demander l'approbation d'emprunt du ministre des Finances.</w:t>
      </w:r>
      <w:proofErr w:type="gramStart"/>
      <w:r w:rsidRPr="002B22D6">
        <w:rPr>
          <w:rFonts w:cs="Arial"/>
        </w:rPr>
        <w:t/>
      </w:r>
      <w:proofErr w:type="gramEnd"/>
      <w:r w:rsidRPr="002B22D6">
        <w:rPr>
          <w:rFonts w:cs="Arial"/>
        </w:rPr>
        <w:t xml:space="preserve"/>
      </w:r>
      <w:r w:rsidRPr="002B22D6">
        <w:rPr>
          <w:rFonts w:cs="Arial"/>
        </w:rPr>
        <w:lastRenderedPageBreak/>
        <w:t xml:space="preserve"/>
      </w:r>
      <w:r w:rsidR="002E5DAC" w:rsidRPr="002B22D6">
        <w:rPr>
          <w:rFonts w:cs="Arial"/>
        </w:rPr>
        <w:t/>
      </w:r>
      <w:r w:rsidRPr="002B22D6">
        <w:rPr>
          <w:rFonts w:cs="Arial"/>
        </w:rPr>
        <w:t xml:space="preserve"/>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prévoit des engagements de 2,9 milliards de dollars pour 2025, 2026 et 2027, et de 2,2 milliards de dollars pour 2028. CGF propose également de s'engager dans des projets supplémentaires de 2 milliards de dollars en 2029, issus des recettes anticipées, sur la base d'un ensemble d'hypothèses (voir la Section 5.3 du Plan d’entreprise 2025-2029 de CGF, annexe C). CDEV cherche à obtenir une autorisation via ce budget d’investissement pour un montant maximal de 15 milliards de dollars, afin de s'aligner sur les sources de financement identifiées concernant CGF. Les résultats financiers de CGF ne sont pas consolidés dans ceux de CDEV, mais nous incluons les engagements anticipés de CGF (jusqu'à 15 milliards de dollars) comme partie des dépenses en capital du Plan d’entreprise de CDEV ci-dessous.</w:t>
      </w:r>
      <w:r w:rsidR="00A020F3">
        <w:rPr>
          <w:rFonts w:cs="Arial"/>
        </w:rPr>
        <w:t/>
      </w:r>
      <w:r w:rsidR="00C04EA6">
        <w:rPr>
          <w:rFonts w:cs="Arial"/>
        </w:rPr>
        <w:t/>
      </w:r>
      <w:r w:rsidRPr="002B22D6">
        <w:rPr>
          <w:rFonts w:cs="Arial"/>
        </w:rPr>
        <w:t xml:space="preserve"/>
      </w:r>
      <w:r w:rsidR="00916FBA">
        <w:rPr>
          <w:rFonts w:cs="Arial"/>
        </w:rPr>
        <w:t/>
      </w:r>
      <w:r w:rsidR="00A31671">
        <w:rPr>
          <w:rFonts w:cs="Arial"/>
        </w:rPr>
        <w:t/>
      </w:r>
      <w:r w:rsidR="00B77319">
        <w:rPr>
          <w:rFonts w:cs="Arial"/>
        </w:rPr>
        <w:t/>
      </w:r>
      <w:r w:rsidRPr="002B22D6">
        <w:rPr>
          <w:rFonts w:cs="Arial"/>
        </w:rPr>
        <w:t xml:space="preserve"/>
      </w:r>
      <w:r w:rsidR="0081037A" w:rsidRPr="00391277">
        <w:rPr>
          <w:rFonts w:cs="Arial"/>
        </w:rPr>
        <w:t xml:space="preserve"/>
      </w:r>
      <w:r w:rsidR="0081037A">
        <w:rPr>
          <w:rFonts w:cs="Arial"/>
        </w:rPr>
        <w:t xml:space="preserve"/>
      </w:r>
      <w:r w:rsidR="0081037A" w:rsidRPr="00391277">
        <w:rPr>
          <w:rFonts w:cs="Arial"/>
        </w:rPr>
        <w:t/>
      </w:r>
      <w:r w:rsidR="00D81901">
        <w:rPr>
          <w:rFonts w:cs="Arial"/>
        </w:rPr>
        <w:t xml:space="preserve"/>
      </w:r>
      <w:r w:rsidR="00A05F10">
        <w:rPr>
          <w:rFonts w:cs="Arial"/>
        </w:rPr>
        <w:t/>
      </w:r>
      <w:r w:rsidR="0081037A" w:rsidRPr="00391277">
        <w:rPr>
          <w:rFonts w:cs="Arial"/>
        </w:rPr>
        <w:t xml:space="preserve"/>
      </w:r>
      <w:r w:rsidR="0081037A">
        <w:rPr>
          <w:rFonts w:cs="Arial"/>
        </w:rPr>
        <w:t/>
      </w:r>
      <w:r w:rsidR="0081037A" w:rsidRPr="00391277">
        <w:rPr>
          <w:rFonts w:cs="Arial"/>
        </w:rPr>
        <w:t xml:space="preserve"/>
      </w:r>
      <w:r w:rsidR="0081037A">
        <w:rPr>
          <w:rFonts w:cs="Arial"/>
        </w:rPr>
        <w:t xml:space="preserve"/>
      </w:r>
      <w:r w:rsidR="0081037A" w:rsidRPr="00391277">
        <w:rPr>
          <w:rFonts w:cs="Arial"/>
        </w:rPr>
        <w:t/>
      </w:r>
      <w:r w:rsidR="004456AB">
        <w:rPr>
          <w:rFonts w:cs="Arial"/>
        </w:rPr>
        <w:t xml:space="preserve"/>
      </w:r>
      <w:r w:rsidR="0081037A" w:rsidRPr="00391277">
        <w:rPr>
          <w:rFonts w:cs="Arial"/>
        </w:rPr>
        <w:t/>
      </w:r>
      <w:r w:rsidR="0081037A" w:rsidRPr="002B22D6">
        <w:rPr>
          <w:rFonts w:cs="Arial"/>
        </w:rPr>
        <w:t xml:space="preserve"/>
      </w:r>
      <w:r w:rsidRPr="002B22D6">
        <w:rPr>
          <w:rFonts w:cs="Arial"/>
        </w:rPr>
        <w:t/>
      </w:r>
      <w:r w:rsidR="00A440EC">
        <w:rPr>
          <w:rFonts w:cs="Arial"/>
        </w:rPr>
        <w:t/>
      </w:r>
      <w:r w:rsidRPr="002B22D6">
        <w:rPr>
          <w:rFonts w:cs="Arial"/>
        </w:rPr>
        <w:t xml:space="preserve"/>
      </w:r>
      <w:r w:rsidR="00017B83">
        <w:rPr>
          <w:rFonts w:cs="Arial"/>
        </w:rPr>
        <w:t/>
      </w:r>
      <w:r w:rsidR="00901F89">
        <w:rPr>
          <w:rFonts w:cs="Arial"/>
        </w:rPr>
        <w:t xml:space="preserve"/>
      </w:r>
      <w:r w:rsidR="00EF679D">
        <w:rPr>
          <w:rFonts w:cs="Arial"/>
        </w:rPr>
        <w:t/>
      </w:r>
      <w:r w:rsidR="00942CA8">
        <w:rPr>
          <w:rFonts w:cs="Arial"/>
        </w:rPr>
        <w:t xml:space="preserve"/>
      </w:r>
      <w:r w:rsidR="00EF4C02">
        <w:rPr>
          <w:rFonts w:cs="Arial"/>
        </w:rPr>
        <w:t/>
      </w:r>
      <w:r w:rsidR="00787EF5">
        <w:rPr>
          <w:rFonts w:cs="Arial"/>
        </w:rPr>
        <w:t/>
      </w:r>
      <w:r w:rsidR="00FD0A37">
        <w:rPr>
          <w:rFonts w:cs="Arial"/>
        </w:rPr>
        <w:t xml:space="preserve"/>
      </w:r>
      <w:r w:rsidRPr="002B22D6">
        <w:rPr>
          <w:rFonts w:cs="Arial"/>
        </w:rPr>
        <w:t xml:space="preserve"/>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du 1er mai 2024, le système élargi de Trans Mountain est entré en service et, en conséquence, TMC ne capitalise plus les coûts des intérêts et a commencé à amortir l'actif. Ces deux éléments entraîneront une perte nette dans l'État consolidé des résultats pendant plusieurs années.</w:t>
      </w:r>
      <w:r w:rsidRPr="00FE1B86">
        <w:rPr>
          <w:rFonts w:asciiTheme="minorHAnsi" w:hAnsiTheme="minorHAnsi"/>
          <w:vertAlign w:val="superscript"/>
        </w:rPr>
        <w:t/>
      </w:r>
      <w:r w:rsidR="00E95058">
        <w:rPr>
          <w:rFonts w:asciiTheme="minorHAnsi" w:hAnsiTheme="minorHAnsi"/>
        </w:rPr>
        <w:t xml:space="preserve"/>
      </w:r>
      <w:r>
        <w:rPr>
          <w:rFonts w:asciiTheme="minorHAnsi" w:hAnsiTheme="minorHAnsi"/>
        </w:rPr>
        <w:t/>
      </w:r>
      <w:r w:rsidR="00894ED5">
        <w:rPr>
          <w:rFonts w:asciiTheme="minorHAnsi" w:hAnsiTheme="minorHAnsi"/>
        </w:rPr>
        <w:t xml:space="preserve"/>
      </w:r>
      <w:r w:rsidR="004E60B3">
        <w:rPr>
          <w:rFonts w:asciiTheme="minorHAnsi" w:hAnsiTheme="minorHAnsi"/>
        </w:rPr>
        <w:t/>
      </w:r>
      <w:r w:rsidR="008E469A">
        <w:rPr>
          <w:rFonts w:asciiTheme="minorHAnsi" w:hAnsiTheme="minorHAnsi"/>
        </w:rPr>
        <w:t xml:space="preserve"/>
      </w:r>
      <w:r w:rsidR="00152FAB">
        <w:rPr>
          <w:rFonts w:asciiTheme="minorHAnsi" w:hAnsiTheme="minorHAnsi"/>
        </w:rPr>
        <w:t/>
      </w:r>
      <w:r w:rsidR="00FE1B86">
        <w:rPr>
          <w:rFonts w:asciiTheme="minorHAnsi" w:hAnsiTheme="minorHAnsi"/>
        </w:rPr>
        <w:t/>
      </w:r>
      <w:r w:rsidR="004E60B3">
        <w:rPr>
          <w:rFonts w:asciiTheme="minorHAnsi" w:hAnsiTheme="minorHAnsi"/>
        </w:rPr>
        <w:t xml:space="preserve"/>
      </w:r>
      <w:r w:rsidR="00791CF7">
        <w:rPr>
          <w:rFonts w:asciiTheme="minorHAnsi" w:hAnsiTheme="minorHAnsi"/>
        </w:rPr>
        <w:t/>
      </w:r>
      <w:r w:rsidR="006E2E6D">
        <w:rPr>
          <w:rFonts w:asciiTheme="minorHAnsi" w:hAnsiTheme="minorHAnsi"/>
        </w:rPr>
        <w:t xml:space="preserve"/>
      </w:r>
      <w:r w:rsidR="00791CF7">
        <w:rPr>
          <w:rFonts w:asciiTheme="minorHAnsi" w:hAnsiTheme="minorHAnsi"/>
        </w:rPr>
        <w:t xml:space="preserve"/>
      </w:r>
      <w:r>
        <w:rPr>
          <w:rFonts w:asciiTheme="minorHAnsi" w:hAnsiTheme="minorHAnsi"/>
        </w:rPr>
        <w:t/>
      </w:r>
      <w:r w:rsidR="00560E44">
        <w:rPr>
          <w:rFonts w:asciiTheme="minorHAnsi" w:hAnsiTheme="minorHAnsi"/>
        </w:rPr>
        <w:t xml:space="preserve"/>
      </w:r>
      <w:r w:rsidR="00DE10A6">
        <w:rPr>
          <w:rFonts w:asciiTheme="minorHAnsi" w:hAnsiTheme="minorHAnsi"/>
        </w:rPr>
        <w:t/>
      </w:r>
      <w:r w:rsidR="00167006">
        <w:rPr>
          <w:rFonts w:asciiTheme="minorHAnsi" w:hAnsiTheme="minorHAnsi"/>
        </w:rPr>
        <w:t/>
      </w:r>
      <w:r w:rsidR="009E553B">
        <w:rPr>
          <w:rFonts w:asciiTheme="minorHAnsi" w:hAnsiTheme="minorHAnsi"/>
        </w:rPr>
        <w:t xml:space="preserve"/>
      </w:r>
      <w:proofErr w:type="gramStart"/>
      <w:r w:rsidR="009E553B">
        <w:rPr>
          <w:rFonts w:asciiTheme="minorHAnsi" w:hAnsiTheme="minorHAnsi"/>
        </w:rPr>
        <w:t/>
      </w:r>
      <w:proofErr w:type="gramEnd"/>
      <w:r w:rsidR="009E553B">
        <w:rPr>
          <w:rFonts w:asciiTheme="minorHAnsi" w:hAnsiTheme="minorHAnsi"/>
        </w:rPr>
        <w:t xml:space="preserve"/>
      </w:r>
      <w:r w:rsidR="00D4277A">
        <w:rPr>
          <w:rFonts w:asciiTheme="minorHAnsi" w:hAnsiTheme="minorHAnsi"/>
        </w:rPr>
        <w:t xml:space="preserve"/>
      </w:r>
      <w:r w:rsidR="003C2183">
        <w:rPr>
          <w:rFonts w:asciiTheme="minorHAnsi" w:hAnsiTheme="minorHAnsi"/>
        </w:rPr>
        <w:t/>
      </w:r>
      <w:r w:rsidR="002933C5">
        <w:rPr>
          <w:rFonts w:asciiTheme="minorHAnsi" w:hAnsiTheme="minorHAnsi"/>
        </w:rPr>
        <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Budget de fonctionnement 5.5</w:t>
      </w:r>
      <w:r w:rsidR="00CD2979" w:rsidRPr="002B22D6">
        <w:rPr>
          <w:rFonts w:asciiTheme="minorHAnsi" w:hAnsiTheme="minorHAnsi"/>
        </w:rPr>
        <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les détails des budgets de fonctionnement de TMC, CHHC, CEEFC et CGF respectivement.</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Attestation du directeur financier</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ma qualité de directeur financier de CDEV, responsable devant le Conseil d’administration de CDEV par le biais du président et chef de la direction, j’ai examiné le plan d’entreprise et les budgets ainsi que les informations nécessaires au soutien, en date de la journée indiquée ci-dessous. Sur la base de cet examen rigoureux, je formule les conclusions suivantes :</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l'étendue des informations financières et connexes sont raisonnablement décrites, et les hypothèses ayant un impact significatif sur les exigences financières associées ont été identifiées et sont étayées par les observations suivantes :</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entourant la structure de capital des actifs de TMC ont été envisagées pour 2024 et sont donc reflétées dans les prévisions de 2024 et reportées pour le reste de la période du plan.</w:t>
      </w:r>
      <w:r w:rsidR="008875C4" w:rsidRPr="007D7C7D">
        <w:rPr>
          <w:rStyle w:val="normaltextrun"/>
          <w:rFonts w:asciiTheme="minorHAnsi" w:eastAsiaTheme="majorEastAsia" w:hAnsiTheme="minorHAnsi" w:cs="Arial"/>
          <w:lang w:val="en-US"/>
        </w:rPr>
        <w:t xml:space="preserve"/>
      </w:r>
      <w:r w:rsidRPr="007D7C7D">
        <w:rPr>
          <w:rStyle w:val="normaltextrun"/>
          <w:rFonts w:asciiTheme="minorHAnsi" w:eastAsiaTheme="majorEastAsia" w:hAnsiTheme="minorHAnsi" w:cs="Arial"/>
          <w:lang w:val="en-US"/>
        </w:rPr>
        <w:t xml:space="preserve"/>
      </w:r>
      <w:r w:rsidR="0042719C" w:rsidRPr="007D7C7D">
        <w:rPr>
          <w:rStyle w:val="normaltextrun"/>
          <w:rFonts w:asciiTheme="minorHAnsi" w:eastAsiaTheme="majorEastAsia" w:hAnsiTheme="minorHAnsi" w:cs="Arial"/>
          <w:lang w:val="en-US"/>
        </w:rPr>
        <w:t/>
      </w:r>
      <w:r w:rsidR="00ED6A2B" w:rsidRPr="007D7C7D">
        <w:rPr>
          <w:rStyle w:val="normaltextrun"/>
          <w:rFonts w:asciiTheme="minorHAnsi" w:eastAsiaTheme="majorEastAsia" w:hAnsiTheme="minorHAnsi" w:cs="Arial"/>
          <w:lang w:val="en-US"/>
        </w:rPr>
        <w:t xml:space="preserve"/>
      </w:r>
      <w:r w:rsidR="00014ECB" w:rsidRPr="007D7C7D">
        <w:rPr>
          <w:rStyle w:val="normaltextrun"/>
          <w:rFonts w:asciiTheme="minorHAnsi" w:eastAsiaTheme="majorEastAsia" w:hAnsiTheme="minorHAnsi" w:cs="Arial"/>
          <w:lang w:val="en-US"/>
        </w:rPr>
        <w:t xml:space="preserve"/>
      </w:r>
      <w:r w:rsidR="004F2180">
        <w:rPr>
          <w:rStyle w:val="normaltextrun"/>
          <w:rFonts w:asciiTheme="minorHAnsi" w:eastAsiaTheme="majorEastAsia" w:hAnsiTheme="minorHAnsi" w:cs="Arial"/>
          <w:lang w:val="en-US"/>
        </w:rPr>
        <w:t xml:space="preserve"/>
      </w:r>
      <w:r w:rsidR="00F5082A">
        <w:rPr>
          <w:rStyle w:val="normaltextrun"/>
          <w:rFonts w:asciiTheme="minorHAnsi" w:eastAsiaTheme="majorEastAsia" w:hAnsiTheme="minorHAnsi" w:cs="Arial"/>
          <w:lang w:val="en-US"/>
        </w:rPr>
        <w:t/>
      </w:r>
      <w:r w:rsidR="004F2180">
        <w:rPr>
          <w:rStyle w:val="normaltextrun"/>
          <w:rFonts w:asciiTheme="minorHAnsi" w:eastAsiaTheme="majorEastAsia" w:hAnsiTheme="minorHAnsi" w:cs="Arial"/>
          <w:lang w:val="en-US"/>
        </w:rPr>
        <w:t xml:space="preserve"/>
      </w:r>
      <w:r w:rsidR="69CA6CAB" w:rsidRPr="56D17EB4">
        <w:rPr>
          <w:rStyle w:val="normaltextrun"/>
          <w:rFonts w:asciiTheme="minorHAnsi" w:eastAsiaTheme="majorEastAsia" w:hAnsiTheme="minorHAnsi" w:cs="Arial"/>
          <w:lang w:val="en-US"/>
        </w:rPr>
        <w:t/>
      </w:r>
      <w:r w:rsidR="004F2180">
        <w:rPr>
          <w:rStyle w:val="normaltextrun"/>
          <w:rFonts w:asciiTheme="minorHAnsi" w:eastAsiaTheme="majorEastAsia" w:hAnsiTheme="minorHAnsi" w:cs="Arial"/>
          <w:lang w:val="en-US"/>
        </w:rPr>
        <w:t xml:space="preserve"/>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Certains détails demeurent inconnus concernant les éventuels termes et modalités de remboursement du refinancement de TMC, tels que les taux, les calendriers de paiement et d'autres conditions. Ceux-ci pourraient avoir un impact significatif sur les résultats financiers.</w:t>
      </w:r>
      <w:r w:rsidR="006A62F4">
        <w:rPr>
          <w:rStyle w:val="normaltextrun"/>
          <w:rFonts w:asciiTheme="minorHAnsi" w:eastAsiaTheme="majorEastAsia" w:hAnsiTheme="minorHAnsi" w:cs="Arial"/>
          <w:lang w:val="en-US"/>
        </w:rPr>
        <w:t xml:space="preserve"/>
      </w:r>
      <w:r w:rsidR="00F70947">
        <w:rPr>
          <w:rStyle w:val="normaltextrun"/>
          <w:rFonts w:asciiTheme="minorHAnsi" w:eastAsiaTheme="majorEastAsia" w:hAnsiTheme="minorHAnsi" w:cs="Arial"/>
          <w:lang w:val="en-US"/>
        </w:rPr>
        <w:t xml:space="preserve"/>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CER n’a pas encore rendu de décision finale sur les tarifs de TMC ; nous avons donc supposé que le tarif existant continuerait et que la CER rendrait une décision favorable. Si cela n’était pas le cas, la capacité de TMC à fournir les flux de trésorerie attendus pourrait être compromise ou l’actif pourrait être déprécié.</w:t>
      </w:r>
      <w:r w:rsidR="00BE5F99" w:rsidRPr="007D7C7D">
        <w:rPr>
          <w:rStyle w:val="normaltextrun"/>
          <w:rFonts w:asciiTheme="minorHAnsi" w:eastAsiaTheme="majorEastAsia" w:hAnsiTheme="minorHAnsi" w:cs="Arial"/>
          <w:lang w:val="en-US"/>
        </w:rPr>
        <w:t xml:space="preserve"/>
      </w:r>
      <w:r w:rsidR="00DB3E18" w:rsidRPr="007D7C7D">
        <w:rPr>
          <w:rStyle w:val="normaltextrun"/>
          <w:rFonts w:asciiTheme="minorHAnsi" w:eastAsiaTheme="majorEastAsia" w:hAnsiTheme="minorHAnsi" w:cs="Arial"/>
          <w:lang w:val="en-US"/>
        </w:rPr>
        <w:t xml:space="preserve"/>
      </w:r>
      <w:r w:rsidR="00BE5F99" w:rsidRPr="007D7C7D">
        <w:rPr>
          <w:rStyle w:val="normaltextrun"/>
          <w:rFonts w:asciiTheme="minorHAnsi" w:eastAsiaTheme="majorEastAsia" w:hAnsiTheme="minorHAnsi" w:cs="Arial"/>
          <w:lang w:val="en-US"/>
        </w:rPr>
        <w:t xml:space="preserve"/>
      </w:r>
      <w:r w:rsidR="000F5ABD" w:rsidRPr="007D7C7D">
        <w:rPr>
          <w:rStyle w:val="normaltextrun"/>
          <w:rFonts w:asciiTheme="minorHAnsi" w:eastAsiaTheme="majorEastAsia" w:hAnsiTheme="minorHAnsi" w:cs="Arial"/>
          <w:lang w:val="en-US"/>
        </w:rPr>
        <w:t/>
      </w:r>
      <w:r w:rsidR="00BE5F99" w:rsidRPr="007D7C7D">
        <w:rPr>
          <w:rStyle w:val="normaltextrun"/>
          <w:rFonts w:asciiTheme="minorHAnsi" w:eastAsiaTheme="majorEastAsia" w:hAnsiTheme="minorHAnsi" w:cs="Arial"/>
          <w:lang w:val="en-US"/>
        </w:rPr>
        <w:t xml:space="preserve"/>
      </w:r>
      <w:r w:rsidR="00DB3E18" w:rsidRPr="007D7C7D">
        <w:rPr>
          <w:rStyle w:val="normaltextrun"/>
          <w:rFonts w:asciiTheme="minorHAnsi" w:eastAsiaTheme="majorEastAsia" w:hAnsiTheme="minorHAnsi" w:cs="Arial"/>
          <w:lang w:val="en-US"/>
        </w:rPr>
        <w:t xml:space="preserve"/>
      </w:r>
      <w:r w:rsidR="000F5ABD" w:rsidRPr="007D7C7D">
        <w:rPr>
          <w:rStyle w:val="normaltextrun"/>
          <w:rFonts w:asciiTheme="minorHAnsi" w:eastAsiaTheme="majorEastAsia" w:hAnsiTheme="minorHAnsi" w:cs="Arial"/>
          <w:lang w:val="en-US"/>
        </w:rPr>
        <w:t xml:space="preserve"/>
      </w:r>
      <w:r w:rsidR="00FE56B3" w:rsidRPr="007D7C7D">
        <w:rPr>
          <w:rStyle w:val="normaltextrun"/>
          <w:rFonts w:asciiTheme="minorHAnsi" w:eastAsiaTheme="majorEastAsia" w:hAnsiTheme="minorHAnsi" w:cs="Arial"/>
          <w:lang w:val="en-US"/>
        </w:rPr>
        <w:t/>
      </w:r>
      <w:r w:rsidR="000F5ABD" w:rsidRPr="007D7C7D">
        <w:rPr>
          <w:rStyle w:val="normaltextrun"/>
          <w:rFonts w:asciiTheme="minorHAnsi" w:eastAsiaTheme="majorEastAsia" w:hAnsiTheme="minorHAnsi" w:cs="Arial"/>
          <w:lang w:val="en-US"/>
        </w:rPr>
        <w:t xml:space="preserve"/>
      </w:r>
      <w:r w:rsidR="00FE56B3" w:rsidRPr="007D7C7D">
        <w:rPr>
          <w:rStyle w:val="normaltextrun"/>
          <w:rFonts w:asciiTheme="minorHAnsi" w:eastAsiaTheme="majorEastAsia" w:hAnsiTheme="minorHAnsi" w:cs="Arial"/>
          <w:lang w:val="en-US"/>
        </w:rPr>
        <w:t xml:space="preserve"/>
      </w:r>
      <w:r w:rsidR="006A10DC" w:rsidRPr="007D7C7D">
        <w:rPr>
          <w:rStyle w:val="normaltextrun"/>
          <w:rFonts w:asciiTheme="minorHAnsi" w:eastAsiaTheme="majorEastAsia" w:hAnsiTheme="minorHAnsi" w:cs="Arial"/>
          <w:lang w:val="en-US"/>
        </w:rPr>
        <w:t xml:space="preserve"/>
      </w:r>
      <w:r w:rsidR="0022073B" w:rsidRPr="007D7C7D">
        <w:rPr>
          <w:rStyle w:val="normaltextrun"/>
          <w:rFonts w:asciiTheme="minorHAnsi" w:eastAsiaTheme="majorEastAsia" w:hAnsiTheme="minorHAnsi" w:cs="Arial"/>
          <w:lang w:val="en-US"/>
        </w:rPr>
        <w:t/>
      </w:r>
      <w:r w:rsidR="006A10DC" w:rsidRPr="007D7C7D">
        <w:rPr>
          <w:rStyle w:val="normaltextrun"/>
          <w:rFonts w:asciiTheme="minorHAnsi" w:eastAsiaTheme="majorEastAsia" w:hAnsiTheme="minorHAnsi" w:cs="Arial"/>
          <w:lang w:val="en-US"/>
        </w:rPr>
        <w:t xml:space="preserve"/>
      </w:r>
      <w:r w:rsidR="0022073B" w:rsidRPr="007D7C7D">
        <w:rPr>
          <w:rStyle w:val="normaltextrun"/>
          <w:rFonts w:asciiTheme="minorHAnsi" w:eastAsiaTheme="majorEastAsia" w:hAnsiTheme="minorHAnsi" w:cs="Arial"/>
          <w:lang w:val="en-US"/>
        </w:rPr>
        <w:t xml:space="preserve"/>
      </w:r>
      <w:r w:rsidR="007E1431" w:rsidRPr="007D7C7D">
        <w:rPr>
          <w:rStyle w:val="normaltextrun"/>
          <w:rFonts w:asciiTheme="minorHAnsi" w:eastAsiaTheme="majorEastAsia" w:hAnsiTheme="minorHAnsi" w:cs="Arial"/>
          <w:lang w:val="en-US"/>
        </w:rPr>
        <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TMC à rembourser ses prêts est soumise à des variations importantes liées aux changements potentiels susmentionnés et est également affectée (dans une moindre mesure) par les volumes non contractés du débit des pipelines.</w:t>
      </w:r>
      <w:r w:rsidR="007E37C7" w:rsidRPr="007D7C7D">
        <w:rPr>
          <w:rStyle w:val="normaltextrun"/>
          <w:rFonts w:asciiTheme="minorHAnsi" w:eastAsiaTheme="majorEastAsia" w:hAnsiTheme="minorHAnsi" w:cs="Arial"/>
          <w:lang w:val="en-US"/>
        </w:rPr>
        <w:t xml:space="preserve"/>
      </w:r>
      <w:r w:rsidR="00381249">
        <w:rPr>
          <w:rStyle w:val="normaltextrun"/>
          <w:rFonts w:asciiTheme="minorHAnsi" w:eastAsiaTheme="majorEastAsia" w:hAnsiTheme="minorHAnsi" w:cs="Arial"/>
          <w:lang w:val="en-US"/>
        </w:rPr>
        <w:t/>
      </w:r>
      <w:r w:rsidR="007E37C7" w:rsidRPr="007D7C7D">
        <w:rPr>
          <w:rStyle w:val="normaltextrun"/>
          <w:rFonts w:asciiTheme="minorHAnsi" w:eastAsiaTheme="majorEastAsia" w:hAnsiTheme="minorHAnsi" w:cs="Arial"/>
          <w:lang w:val="en-US"/>
        </w:rPr>
        <w:t xml:space="preserve"/>
      </w:r>
      <w:r w:rsidRPr="007D7C7D">
        <w:rPr>
          <w:rStyle w:val="normaltextrun"/>
          <w:rFonts w:asciiTheme="minorHAnsi" w:eastAsiaTheme="majorEastAsia" w:hAnsiTheme="minorHAnsi" w:cs="Arial"/>
          <w:lang w:val="en-US"/>
        </w:rPr>
        <w:t/>
      </w:r>
      <w:r w:rsidR="00506148" w:rsidRPr="007D7C7D">
        <w:rPr>
          <w:rStyle w:val="normaltextrun"/>
          <w:rFonts w:asciiTheme="minorHAnsi" w:eastAsiaTheme="majorEastAsia" w:hAnsiTheme="minorHAnsi" w:cs="Arial"/>
          <w:lang w:val="en-US"/>
        </w:rPr>
        <w:t xml:space="preserve"/>
      </w:r>
      <w:r w:rsidR="00CB13B0">
        <w:rPr>
          <w:rStyle w:val="normaltextrun"/>
          <w:rFonts w:asciiTheme="minorHAnsi" w:eastAsiaTheme="majorEastAsia" w:hAnsiTheme="minorHAnsi" w:cs="Arial"/>
          <w:lang w:val="en-US"/>
        </w:rPr>
        <w:t xml:space="preserve"/>
      </w:r>
      <w:r w:rsidR="00506148" w:rsidRPr="007D7C7D">
        <w:rPr>
          <w:rStyle w:val="normaltextrun"/>
          <w:rFonts w:asciiTheme="minorHAnsi" w:eastAsiaTheme="majorEastAsia" w:hAnsiTheme="minorHAnsi" w:cs="Arial"/>
          <w:lang w:val="en-US"/>
        </w:rPr>
        <w:t xml:space="preserve"/>
      </w:r>
      <w:r w:rsidR="00693074" w:rsidRPr="007D7C7D">
        <w:rPr>
          <w:rStyle w:val="normaltextrun"/>
          <w:rFonts w:asciiTheme="minorHAnsi" w:eastAsiaTheme="majorEastAsia" w:hAnsiTheme="minorHAnsi" w:cs="Arial"/>
          <w:lang w:val="en-US"/>
        </w:rPr>
        <w:t/>
      </w:r>
      <w:r w:rsidR="00F6302B" w:rsidRPr="007D7C7D">
        <w:rPr>
          <w:rStyle w:val="normaltextrun"/>
          <w:rFonts w:asciiTheme="minorHAnsi" w:eastAsiaTheme="majorEastAsia" w:hAnsiTheme="minorHAnsi" w:cs="Arial"/>
          <w:lang w:val="en-US"/>
        </w:rPr>
        <w:t xml:space="preserve"/>
      </w:r>
      <w:r w:rsidR="00F273A5" w:rsidRPr="007D7C7D">
        <w:rPr>
          <w:rStyle w:val="normaltextrun"/>
          <w:rFonts w:asciiTheme="minorHAnsi" w:eastAsiaTheme="majorEastAsia" w:hAnsiTheme="minorHAnsi" w:cs="Arial"/>
          <w:lang w:val="en-US"/>
        </w:rPr>
        <w:t xml:space="preserve"/>
      </w:r>
      <w:r w:rsidR="006A4D8B" w:rsidRPr="007D7C7D">
        <w:rPr>
          <w:rStyle w:val="normaltextrun"/>
          <w:rFonts w:asciiTheme="minorHAnsi" w:eastAsiaTheme="majorEastAsia" w:hAnsiTheme="minorHAnsi" w:cs="Arial"/>
          <w:lang w:val="en-US"/>
        </w:rPr>
        <w:t xml:space="preserve"/>
      </w:r>
      <w:r w:rsidR="00D1269F" w:rsidRPr="007D7C7D">
        <w:rPr>
          <w:rStyle w:val="normaltextrun"/>
          <w:rFonts w:asciiTheme="minorHAnsi" w:eastAsiaTheme="majorEastAsia" w:hAnsiTheme="minorHAnsi" w:cs="Arial"/>
          <w:lang w:val="en-US"/>
        </w:rPr>
        <w:t xml:space="preserve"/>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hypothèses financières de CEEFC dans ses projections sont hautement spéculatives concernant la taille du portefeuille de prêts, le calendrier et le montant des remboursements de prêts, ainsi que les pertes financières associées à ces prêts.</w:t>
      </w:r>
      <w:r w:rsidR="007E37C7" w:rsidRPr="005F754A">
        <w:rPr>
          <w:rStyle w:val="normaltextrun"/>
          <w:rFonts w:asciiTheme="minorHAnsi" w:eastAsiaTheme="majorEastAsia" w:hAnsiTheme="minorHAnsi" w:cs="Arial"/>
          <w:lang w:val="en-US"/>
        </w:rPr>
        <w:t xml:space="preserve"/>
      </w:r>
      <w:r>
        <w:rPr>
          <w:rStyle w:val="normaltextrun"/>
          <w:rFonts w:asciiTheme="minorHAnsi" w:eastAsiaTheme="majorEastAsia" w:hAnsiTheme="minorHAnsi" w:cs="Arial"/>
          <w:lang w:val="en-US"/>
        </w:rPr>
        <w:t xml:space="preserve"/>
      </w:r>
      <w:r w:rsidR="007E37C7" w:rsidRPr="005F754A">
        <w:rPr>
          <w:rStyle w:val="normaltextrun"/>
          <w:rFonts w:asciiTheme="minorHAnsi" w:eastAsiaTheme="majorEastAsia" w:hAnsiTheme="minorHAnsi" w:cs="Arial"/>
          <w:lang w:val="en-US"/>
        </w:rPr>
        <w:t/>
      </w:r>
      <w:r w:rsidR="00BC30BF">
        <w:rPr>
          <w:rStyle w:val="normaltextrun"/>
          <w:rFonts w:asciiTheme="minorHAnsi" w:eastAsiaTheme="majorEastAsia" w:hAnsiTheme="minorHAnsi" w:cs="Arial"/>
          <w:lang w:val="en-US"/>
        </w:rPr>
        <w:t/>
      </w:r>
      <w:r w:rsidR="007E37C7" w:rsidRPr="007D7C7D">
        <w:rPr>
          <w:rStyle w:val="normaltextrun"/>
          <w:rFonts w:asciiTheme="minorHAnsi" w:eastAsiaTheme="majorEastAsia" w:hAnsiTheme="minorHAnsi" w:cs="Arial"/>
          <w:lang w:val="en-US"/>
        </w:rPr>
        <w:t/>
      </w:r>
      <w:r w:rsidR="00D1269F" w:rsidRPr="007D7C7D">
        <w:rPr>
          <w:rStyle w:val="normaltextrun"/>
          <w:rFonts w:asciiTheme="minorHAnsi" w:eastAsiaTheme="majorEastAsia" w:hAnsiTheme="minorHAnsi" w:cs="Arial"/>
          <w:lang w:val="en-US"/>
        </w:rPr>
        <w:t/>
      </w:r>
      <w:r w:rsidR="007E37C7" w:rsidRPr="007D7C7D">
        <w:rPr>
          <w:rStyle w:val="normaltextrun"/>
          <w:rFonts w:asciiTheme="minorHAnsi" w:eastAsiaTheme="majorEastAsia" w:hAnsiTheme="minorHAnsi" w:cs="Arial"/>
          <w:lang w:val="en-US"/>
        </w:rPr>
        <w:t xml:space="preserve"/>
      </w:r>
      <w:r w:rsidR="008644BD">
        <w:rPr>
          <w:rStyle w:val="normaltextrun"/>
          <w:rFonts w:asciiTheme="minorHAnsi" w:eastAsiaTheme="majorEastAsia" w:hAnsiTheme="minorHAnsi" w:cs="Arial"/>
          <w:lang w:val="en-US"/>
        </w:rPr>
        <w:t xml:space="preserve"/>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De manière générale, le groupe de sociétés CDEV attend plusieurs décisions gouvernementales qui ont un impact matériel et inconnu sur le plan. Étant donné que ces décisions restent en suspens au moment de la rédaction, il est impossible d’évaluer les impacts potentiels sur le plan d’entreprise, y compris les conséquences d’un retard dans les décisions, ce qui pourrait compromettre la réalisation des projets futurs et/ou entraîner des inefficiences de coût. Les décisions concernent principalement les mandats relatifs à IEP, la structure de capital de TMC, CIC et ILGP.</w:t>
      </w:r>
      <w:r w:rsidR="006A2696" w:rsidRPr="007D7C7D">
        <w:rPr>
          <w:rStyle w:val="normaltextrun"/>
          <w:rFonts w:asciiTheme="minorHAnsi" w:eastAsiaTheme="majorEastAsia" w:hAnsiTheme="minorHAnsi" w:cs="Arial"/>
          <w:lang w:val="en-US"/>
        </w:rPr>
        <w:t xml:space="preserve"/>
      </w:r>
      <w:r w:rsidR="008C74A4">
        <w:rPr>
          <w:rStyle w:val="normaltextrun"/>
          <w:rFonts w:asciiTheme="minorHAnsi" w:eastAsiaTheme="majorEastAsia" w:hAnsiTheme="minorHAnsi" w:cs="Arial"/>
          <w:lang w:val="en-US"/>
        </w:rPr>
        <w:t xml:space="preserve"/>
      </w:r>
      <w:r w:rsidR="006A2696" w:rsidRPr="005F754A">
        <w:rPr>
          <w:rStyle w:val="normaltextrun"/>
          <w:rFonts w:asciiTheme="minorHAnsi" w:eastAsiaTheme="majorEastAsia" w:hAnsiTheme="minorHAnsi" w:cs="Arial"/>
          <w:lang w:val="en-US"/>
        </w:rPr>
        <w:t xml:space="preserve"/>
      </w:r>
      <w:r w:rsidR="008C74A4">
        <w:rPr>
          <w:rStyle w:val="normaltextrun"/>
          <w:rFonts w:asciiTheme="minorHAnsi" w:eastAsiaTheme="majorEastAsia" w:hAnsiTheme="minorHAnsi" w:cs="Arial"/>
          <w:lang w:val="en-US"/>
        </w:rPr>
        <w:t/>
      </w:r>
      <w:r w:rsidRPr="005F754A">
        <w:rPr>
          <w:rStyle w:val="normaltextrun"/>
          <w:rFonts w:asciiTheme="minorHAnsi" w:eastAsiaTheme="majorEastAsia" w:hAnsiTheme="minorHAnsi" w:cs="Arial"/>
          <w:lang w:val="en-US"/>
        </w:rPr>
        <w:t xml:space="preserve"/>
      </w:r>
      <w:r w:rsidR="004012AD" w:rsidRPr="005F754A">
        <w:rPr>
          <w:rStyle w:val="normaltextrun"/>
          <w:rFonts w:asciiTheme="minorHAnsi" w:eastAsiaTheme="majorEastAsia" w:hAnsiTheme="minorHAnsi" w:cs="Arial"/>
          <w:lang w:val="en-US"/>
        </w:rPr>
        <w:t/>
      </w:r>
      <w:r w:rsidR="00F30F63" w:rsidRPr="005F754A">
        <w:rPr>
          <w:rStyle w:val="normaltextrun"/>
          <w:rFonts w:asciiTheme="minorHAnsi" w:eastAsiaTheme="majorEastAsia" w:hAnsiTheme="minorHAnsi" w:cs="Arial"/>
          <w:lang w:val="en-US"/>
        </w:rPr>
        <w:t xml:space="preserve"/>
      </w:r>
      <w:r w:rsidR="002F7EFD" w:rsidRPr="005F754A">
        <w:rPr>
          <w:rStyle w:val="normaltextrun"/>
          <w:rFonts w:asciiTheme="minorHAnsi" w:eastAsiaTheme="majorEastAsia" w:hAnsiTheme="minorHAnsi" w:cs="Arial"/>
          <w:lang w:val="en-US"/>
        </w:rPr>
        <w:t/>
      </w:r>
      <w:r w:rsidR="0002593F" w:rsidRPr="005F754A">
        <w:rPr>
          <w:rStyle w:val="normaltextrun"/>
          <w:rFonts w:asciiTheme="minorHAnsi" w:eastAsiaTheme="majorEastAsia" w:hAnsiTheme="minorHAnsi" w:cs="Arial"/>
          <w:lang w:val="en-US"/>
        </w:rPr>
        <w:t/>
      </w:r>
      <w:r w:rsidR="00026415" w:rsidRPr="005F754A">
        <w:rPr>
          <w:rStyle w:val="normaltextrun"/>
          <w:rFonts w:asciiTheme="minorHAnsi" w:eastAsiaTheme="majorEastAsia" w:hAnsiTheme="minorHAnsi" w:cs="Arial"/>
          <w:lang w:val="en-US"/>
        </w:rPr>
        <w:t xml:space="preserve"/>
      </w:r>
      <w:r w:rsidR="00863A6A" w:rsidRPr="005F754A">
        <w:rPr>
          <w:rStyle w:val="normaltextrun"/>
          <w:rFonts w:asciiTheme="minorHAnsi" w:eastAsiaTheme="majorEastAsia" w:hAnsiTheme="minorHAnsi" w:cs="Arial"/>
          <w:lang w:val="en-US"/>
        </w:rPr>
        <w:t xml:space="preserve"/>
      </w:r>
      <w:r w:rsidR="007E6D30" w:rsidRPr="005F754A">
        <w:rPr>
          <w:rStyle w:val="normaltextrun"/>
          <w:rFonts w:asciiTheme="minorHAnsi" w:eastAsiaTheme="majorEastAsia" w:hAnsiTheme="minorHAnsi" w:cs="Arial"/>
          <w:lang w:val="en-US"/>
        </w:rPr>
        <w:t xml:space="preserve"/>
      </w:r>
      <w:r w:rsidR="00863A6A" w:rsidRPr="005F754A">
        <w:rPr>
          <w:rStyle w:val="normaltextrun"/>
          <w:rFonts w:asciiTheme="minorHAnsi" w:eastAsiaTheme="majorEastAsia" w:hAnsiTheme="minorHAnsi" w:cs="Arial"/>
          <w:lang w:val="en-US"/>
        </w:rPr>
        <w:t/>
      </w:r>
      <w:r w:rsidR="00035EBF" w:rsidRPr="005F754A">
        <w:rPr>
          <w:rStyle w:val="normaltextrun"/>
          <w:rFonts w:asciiTheme="minorHAnsi" w:eastAsiaTheme="majorEastAsia" w:hAnsiTheme="minorHAnsi" w:cs="Arial"/>
          <w:lang w:val="en-US"/>
        </w:rPr>
        <w:t xml:space="preserve"/>
      </w:r>
      <w:r w:rsidR="00863A6A" w:rsidRPr="005F754A">
        <w:rPr>
          <w:rStyle w:val="normaltextrun"/>
          <w:rFonts w:asciiTheme="minorHAnsi" w:eastAsiaTheme="majorEastAsia" w:hAnsiTheme="minorHAnsi" w:cs="Arial"/>
          <w:lang w:val="en-US"/>
        </w:rPr>
        <w:t xml:space="preserve"/>
      </w:r>
      <w:r w:rsidR="00835F1B">
        <w:rPr>
          <w:rStyle w:val="normaltextrun"/>
          <w:rFonts w:asciiTheme="minorHAnsi" w:eastAsiaTheme="majorEastAsia" w:hAnsiTheme="minorHAnsi" w:cs="Arial"/>
          <w:lang w:val="en-US"/>
        </w:rPr>
        <w:t/>
      </w:r>
      <w:r w:rsidR="00863A6A" w:rsidRPr="005F754A">
        <w:rPr>
          <w:rStyle w:val="normaltextrun"/>
          <w:rFonts w:asciiTheme="minorHAnsi" w:eastAsiaTheme="majorEastAsia" w:hAnsiTheme="minorHAnsi" w:cs="Arial"/>
          <w:lang w:val="en-US"/>
        </w:rPr>
        <w:t xml:space="preserve"/>
      </w:r>
      <w:r w:rsidR="00F557A2" w:rsidRPr="005F754A">
        <w:rPr>
          <w:rStyle w:val="normaltextrun"/>
          <w:rFonts w:asciiTheme="minorHAnsi" w:eastAsiaTheme="majorEastAsia" w:hAnsiTheme="minorHAnsi" w:cs="Arial"/>
          <w:lang w:val="en-US"/>
        </w:rPr>
        <w:t xml:space="preserve"/>
      </w:r>
      <w:r w:rsidR="007E6D30" w:rsidRPr="005F754A">
        <w:rPr>
          <w:rStyle w:val="normaltextrun"/>
          <w:rFonts w:asciiTheme="minorHAnsi" w:eastAsiaTheme="majorEastAsia" w:hAnsiTheme="minorHAnsi" w:cs="Arial"/>
          <w:lang w:val="en-US"/>
        </w:rPr>
        <w:t xml:space="preserve"/>
      </w:r>
      <w:r w:rsidR="00F557A2" w:rsidRPr="005F754A">
        <w:rPr>
          <w:rStyle w:val="normaltextrun"/>
          <w:rFonts w:asciiTheme="minorHAnsi" w:eastAsiaTheme="majorEastAsia" w:hAnsiTheme="minorHAnsi" w:cs="Arial"/>
          <w:lang w:val="en-US"/>
        </w:rPr>
        <w:t/>
      </w:r>
      <w:r w:rsidR="007E6D30" w:rsidRPr="005F754A">
        <w:rPr>
          <w:rStyle w:val="normaltextrun"/>
          <w:rFonts w:asciiTheme="minorHAnsi" w:eastAsiaTheme="majorEastAsia" w:hAnsiTheme="minorHAnsi" w:cs="Arial"/>
          <w:lang w:val="en-US"/>
        </w:rPr>
        <w:t/>
      </w:r>
      <w:r w:rsidR="005D4738" w:rsidRPr="005F754A">
        <w:rPr>
          <w:rStyle w:val="normaltextrun"/>
          <w:rFonts w:asciiTheme="minorHAnsi" w:eastAsiaTheme="majorEastAsia" w:hAnsiTheme="minorHAnsi" w:cs="Arial"/>
          <w:lang w:val="en-US"/>
        </w:rPr>
        <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Les risques significatifs ayant un impact sur les besoins financiers, la sensibilité des besoins financiers aux changements dans les hypothèses clés et les stratégies de gestion des risques connexes ont été divulgués, avec les observations suivantes :</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Un risque important demeure concernant le calendrier, le montant et le prix de toute émission obligataire liée à TMC.</w:t>
      </w:r>
      <w:r w:rsidR="00DB23A2" w:rsidRPr="007D7C7D">
        <w:rPr>
          <w:rStyle w:val="normaltextrun"/>
          <w:rFonts w:asciiTheme="minorHAnsi" w:eastAsiaTheme="majorEastAsia" w:hAnsiTheme="minorHAnsi" w:cs="Arial"/>
          <w:lang w:val="en-US"/>
        </w:rPr>
        <w:t xml:space="preserve"/>
      </w:r>
      <w:r w:rsidR="00BE031B" w:rsidRPr="007D7C7D">
        <w:rPr>
          <w:rStyle w:val="normaltextrun"/>
          <w:rFonts w:asciiTheme="minorHAnsi" w:eastAsiaTheme="majorEastAsia" w:hAnsiTheme="minorHAnsi" w:cs="Arial"/>
          <w:lang w:val="en-US"/>
        </w:rPr>
        <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Une grande incertitude et des risques importants subsistent concernant la taille et les performances financières des prêts de CEEFC dans le cadre du plan de CEEFC.</w:t>
      </w:r>
      <w:r w:rsidR="003A1370">
        <w:rPr>
          <w:rStyle w:val="normaltextrun"/>
          <w:rFonts w:asciiTheme="minorHAnsi" w:eastAsiaTheme="majorEastAsia" w:hAnsiTheme="minorHAnsi" w:cs="Arial"/>
          <w:lang w:val="en-US"/>
        </w:rPr>
        <w:t xml:space="preserve"/>
      </w:r>
      <w:r>
        <w:rPr>
          <w:rStyle w:val="normaltextrun"/>
          <w:rFonts w:asciiTheme="minorHAnsi" w:eastAsiaTheme="majorEastAsia" w:hAnsiTheme="minorHAnsi" w:cs="Arial"/>
          <w:lang w:val="en-US"/>
        </w:rPr>
        <w:t xml:space="preserve"/>
      </w:r>
      <w:r w:rsidR="007E37C7" w:rsidRPr="007D7C7D">
        <w:rPr>
          <w:rStyle w:val="normaltextrun"/>
          <w:rFonts w:asciiTheme="minorHAnsi" w:eastAsiaTheme="majorEastAsia" w:hAnsiTheme="minorHAnsi" w:cs="Arial"/>
          <w:lang w:val="en-US"/>
        </w:rPr>
        <w:t xml:space="preserve"/>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jointes indiquent que TMC génère des flux de trésorerie suffisants pour répondre aux besoins financiers pendant la durée prévue du plan d’entreprise.</w:t>
      </w:r>
      <w:r w:rsidR="00BE353E" w:rsidRPr="007D7C7D">
        <w:rPr>
          <w:rStyle w:val="normaltextrun"/>
          <w:rFonts w:asciiTheme="minorHAnsi" w:eastAsiaTheme="majorEastAsia" w:hAnsiTheme="minorHAnsi" w:cs="Arial"/>
          <w:lang w:val="en-US"/>
        </w:rPr>
        <w:t/>
      </w:r>
      <w:r w:rsidRPr="007D7C7D">
        <w:rPr>
          <w:rStyle w:val="normaltextrun"/>
          <w:rFonts w:asciiTheme="minorHAnsi" w:eastAsiaTheme="majorEastAsia" w:hAnsiTheme="minorHAnsi" w:cs="Arial"/>
          <w:lang w:val="en-US"/>
        </w:rPr>
        <w:t xml:space="preserve"/>
      </w:r>
      <w:r w:rsidR="00951374" w:rsidRPr="007D7C7D">
        <w:rPr>
          <w:rStyle w:val="normaltextrun"/>
          <w:rFonts w:asciiTheme="minorHAnsi" w:eastAsiaTheme="majorEastAsia" w:hAnsiTheme="minorHAnsi" w:cs="Arial"/>
          <w:lang w:val="en-US"/>
        </w:rPr>
        <w:t xml:space="preserve"/>
      </w:r>
      <w:r w:rsidR="006246CF" w:rsidRPr="007D7C7D">
        <w:rPr>
          <w:rStyle w:val="normaltextrun"/>
          <w:rFonts w:asciiTheme="minorHAnsi" w:eastAsiaTheme="majorEastAsia" w:hAnsiTheme="minorHAnsi" w:cs="Arial"/>
          <w:lang w:val="en-US"/>
        </w:rPr>
        <w:t/>
      </w:r>
      <w:r w:rsidR="00B60F25">
        <w:rPr>
          <w:rStyle w:val="normaltextrun"/>
          <w:rFonts w:asciiTheme="minorHAnsi" w:eastAsiaTheme="majorEastAsia" w:hAnsiTheme="minorHAnsi" w:cs="Arial"/>
          <w:lang w:val="en-US"/>
        </w:rPr>
        <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au gouvernement par CEEFC ne seront pas entièrement rachetées durant la période du plan selon les projections financières de CEEFC et pourraient ne pas l’être en totalité en raison des éventuelles pertes liées aux prêts contractés par CEEFC.</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besoins en ressources financières ont été divulgués et sont cohérents avec les hypothèses déclarées, et des options pour maîtriser les coûts ont été envisagées, avec les observations suivantes : Ce plan a été préparé en utilisant les meilleures estimations internes disponibles, sur la base d'hypothèses soumises à des risques tels qu’évoqués aux points 1 et 2 ci-dessus ainsi qu’au point 4 ci-dessous.</w:t>
      </w:r>
      <w:r w:rsidR="00C41F16">
        <w:rPr>
          <w:rStyle w:val="normaltextrun"/>
          <w:rFonts w:asciiTheme="minorHAnsi" w:eastAsiaTheme="majorEastAsia" w:hAnsiTheme="minorHAnsi" w:cs="Arial"/>
          <w:lang w:val="en-US"/>
        </w:rPr>
        <w:t/>
      </w:r>
      <w:r w:rsidRPr="007D7C7D">
        <w:rPr>
          <w:rStyle w:val="normaltextrun"/>
          <w:rFonts w:asciiTheme="minorHAnsi" w:eastAsiaTheme="majorEastAsia" w:hAnsiTheme="minorHAnsi" w:cs="Arial"/>
          <w:lang w:val="en-US"/>
        </w:rPr>
        <w:t xml:space="preserve"/>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fonds ont été identifiés et sont suffisants pour répondre aux besoins financiers de la durée prévue du plan corporatif, avec les observations suivantes, y compris celles concernant les sources de financement futures provenant du gouvernement.</w:t>
      </w:r>
      <w:r w:rsidR="00C81FFB" w:rsidRPr="007D7C7D">
        <w:rPr>
          <w:rStyle w:val="normaltextrun"/>
          <w:rFonts w:asciiTheme="minorHAnsi" w:eastAsiaTheme="majorEastAsia" w:hAnsiTheme="minorHAnsi" w:cs="Arial"/>
          <w:lang w:val="en-US"/>
        </w:rPr>
        <w:t/>
      </w:r>
      <w:r w:rsidRPr="007D7C7D">
        <w:rPr>
          <w:rStyle w:val="normaltextrun"/>
          <w:rFonts w:asciiTheme="minorHAnsi" w:eastAsiaTheme="majorEastAsia" w:hAnsiTheme="minorHAnsi" w:cs="Arial"/>
          <w:lang w:val="en-US"/>
        </w:rPr>
        <w:t xml:space="preserve"/>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monétisation potentielle des actifs de TMC affecterait également la valeur de l’investissement de TMC.</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des opérations de CEEFC repose sur l’hypothèse que celui-ci est conforme à l’accord de financement de CEEFC conclu avec le gouvernement.</w:t>
      </w:r>
      <w:proofErr w:type="gramStart"/>
      <w:r w:rsidRPr="007D7C7D">
        <w:rPr>
          <w:rStyle w:val="normaltextrun"/>
          <w:rFonts w:asciiTheme="minorHAnsi" w:eastAsiaTheme="majorEastAsia" w:hAnsiTheme="minorHAnsi" w:cs="Arial"/>
          <w:lang w:val="en-US"/>
        </w:rPr>
        <w:t/>
      </w:r>
      <w:proofErr w:type="gramEnd"/>
      <w:r w:rsidRPr="007D7C7D">
        <w:rPr>
          <w:rStyle w:val="normaltextrun"/>
          <w:rFonts w:asciiTheme="minorHAnsi" w:eastAsiaTheme="majorEastAsia" w:hAnsiTheme="minorHAnsi" w:cs="Arial"/>
          <w:lang w:val="en-US"/>
        </w:rPr>
        <w:t xml:space="preserve"/>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corporatif et les budgets sont conformes aux lois et politiques pertinentes en matière de gestion financière, et les autorités compétentes en gestion financière sont en place (ou sont en cours d’obtention, comme décrit dans le plan corporatif).</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Des contrôles financiers clés sont en place pour appuyer la mise en œuvre des activités proposées et le fonctionnement continu de la société d’État mère et de ses filiales en propriété exclusive.</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À mon avis, le plan corporatif et les budgets présentent des enjeux financiers et des risques importants, tels que mentionné ci-dessus.</w:t>
      </w:r>
      <w:r w:rsidR="00E41F1C" w:rsidRPr="007D7C7D">
        <w:rPr>
          <w:rFonts w:asciiTheme="minorHAnsi" w:hAnsiTheme="minorHAnsi" w:cs="Arial"/>
        </w:rPr>
        <w:t/>
      </w:r>
      <w:r w:rsidRPr="007D7C7D">
        <w:rPr>
          <w:rFonts w:asciiTheme="minorHAnsi" w:hAnsiTheme="minorHAnsi" w:cs="Arial"/>
        </w:rPr>
        <w:t/>
      </w:r>
      <w:r w:rsidR="00492A42" w:rsidRPr="007D7C7D">
        <w:rPr>
          <w:rFonts w:asciiTheme="minorHAnsi" w:hAnsiTheme="minorHAnsi" w:cs="Arial"/>
        </w:rPr>
        <w:t/>
      </w:r>
      <w:r w:rsidRPr="007D7C7D">
        <w:rPr>
          <w:rFonts w:asciiTheme="minorHAnsi" w:hAnsiTheme="minorHAnsi" w:cs="Arial"/>
        </w:rPr>
        <w:t xml:space="preserve"/>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w:t>
      </w:r>
    </w:p>
    <w:p w14:paraId="3A1FDC26" w14:textId="77777777" w:rsidR="0008047C" w:rsidRDefault="008D7F4E" w:rsidP="002B22D6">
      <w:pPr>
        <w:spacing w:after="0" w:line="240" w:lineRule="auto"/>
      </w:pPr>
      <w:r w:rsidRPr="002B22D6">
        <w:t xml:space="preserve">Chef des finances</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25 octobre 2024</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A-1 : ORGANIGRAMME : CONSEIL ET DIRECTION</w:t>
      </w:r>
      <w:r w:rsidR="00D43325">
        <w:rPr>
          <w:sz w:val="28"/>
          <w:szCs w:val="28"/>
        </w:rPr>
        <w:t/>
      </w:r>
      <w:r w:rsidRPr="00A67127">
        <w:rPr>
          <w:sz w:val="28"/>
          <w:szCs w:val="28"/>
        </w:rPr>
        <w:t xml:space="preserve"/>
      </w:r>
      <w:r w:rsidR="00C00716" w:rsidRPr="00F23CD7">
        <w:rPr>
          <w:rFonts w:hint="eastAsia"/>
          <w:sz w:val="28"/>
          <w:szCs w:val="28"/>
        </w:rPr>
        <w:t/>
      </w:r>
      <w:r w:rsidR="007071CA" w:rsidRPr="00F23CD7">
        <w:rPr>
          <w:sz w:val="28"/>
          <w:szCs w:val="28"/>
        </w:rPr>
        <w:t/>
      </w:r>
      <w:r w:rsidR="00C00716" w:rsidRPr="00F23CD7">
        <w:rPr>
          <w:rFonts w:hint="eastAsia"/>
          <w:sz w:val="28"/>
          <w:szCs w:val="28"/>
        </w:rPr>
        <w:t xml:space="preserve"/>
      </w:r>
      <w:r w:rsidR="00E27223" w:rsidRPr="00F23CD7">
        <w:rPr>
          <w:sz w:val="28"/>
          <w:szCs w:val="28"/>
        </w:rPr>
        <w:t xml:space="preserve"/>
      </w:r>
      <w:r w:rsidR="007071CA" w:rsidRPr="00F23CD7">
        <w:rPr>
          <w:sz w:val="28"/>
          <w:szCs w:val="28"/>
        </w:rPr>
        <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SOCIÉTÉ CANADIENNE DE DÉVELOPPEMENT ET D’INVESTISSEMENT</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Jennifer Reynolds, MBA *(3)</w:t>
            </w:r>
            <w:r w:rsidRPr="0047120A">
              <w:rPr>
                <w:rFonts w:asciiTheme="minorHAnsi" w:hAnsiTheme="minorHAnsi" w:cs="Arial"/>
                <w:b/>
              </w:rPr>
              <w:t xml:space="preserve"/>
            </w:r>
            <w:r w:rsidR="00477262">
              <w:rPr>
                <w:rFonts w:asciiTheme="minorHAnsi" w:hAnsiTheme="minorHAnsi" w:cs="Arial"/>
                <w:b/>
              </w:rPr>
              <w:t/>
            </w:r>
            <w:r w:rsidRPr="0047120A">
              <w:rPr>
                <w:rFonts w:asciiTheme="minorHAnsi" w:hAnsiTheme="minorHAnsi" w:cs="Arial"/>
                <w:b/>
                <w:vertAlign w:val="superscript"/>
              </w:rPr>
              <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Présidente-directrice principale du conseil d’administration de la CDEV</w:t>
            </w:r>
            <w:r w:rsidR="001705C0">
              <w:rPr>
                <w:rFonts w:asciiTheme="minorHAnsi" w:hAnsiTheme="minorHAnsi" w:cs="Arial"/>
              </w:rPr>
              <w:t xml:space="preserve"/>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      </w:t>
            </w:r>
            <w:r w:rsidR="001705C0" w:rsidRPr="0047120A">
              <w:rPr>
                <w:rFonts w:asciiTheme="minorHAnsi" w:hAnsiTheme="minorHAnsi" w:cs="Arial"/>
              </w:rPr>
              <w:t>CEO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Women Corporate Directors Foundation</w:t>
            </w:r>
            <w:r w:rsidRPr="0047120A">
              <w:rPr>
                <w:rFonts w:asciiTheme="minorHAnsi" w:hAnsiTheme="minorHAnsi" w:cs="Arial"/>
              </w:rPr>
              <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(3)</w:t>
            </w:r>
            <w:r w:rsidRPr="0047120A">
              <w:rPr>
                <w:rFonts w:asciiTheme="minorHAnsi" w:hAnsiTheme="minorHAnsi" w:cs="Arial"/>
                <w:b/>
                <w:vertAlign w:val="superscript"/>
              </w:rPr>
              <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Administrateur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Terre-Neuve-et-Labrador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 (1) (2)</w:t>
            </w:r>
            <w:r w:rsidRPr="00462C5F">
              <w:rPr>
                <w:rFonts w:asciiTheme="minorHAnsi" w:hAnsiTheme="minorHAnsi"/>
                <w:b/>
                <w:vertAlign w:val="superscript"/>
                <w:lang w:val="es-ES"/>
              </w:rPr>
              <w:t xml:space="preserve"/>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Administrateur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Manhattan Graphics Center</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DSI et gestionnaire de portefeuille, Aarya Capital</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Sandra Rosch, MBA (1) (2)</w:t>
            </w:r>
            <w:r w:rsidRPr="0047120A">
              <w:rPr>
                <w:rFonts w:asciiTheme="minorHAnsi" w:hAnsiTheme="minorHAnsi" w:cs="Arial"/>
                <w:b/>
              </w:rPr>
              <w:t xml:space="preserve"/>
            </w:r>
            <w:r w:rsidRPr="0047120A">
              <w:rPr>
                <w:rFonts w:asciiTheme="minorHAnsi" w:hAnsiTheme="minorHAnsi" w:cs="Arial"/>
                <w:b/>
                <w:vertAlign w:val="superscript"/>
              </w:rPr>
              <w:t/>
            </w:r>
            <w:r w:rsidRPr="0047120A">
              <w:rPr>
                <w:rFonts w:asciiTheme="minorHAnsi" w:hAnsiTheme="minorHAnsi" w:cs="Arial"/>
                <w:b/>
              </w:rPr>
              <w:t xml:space="preserve"/>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Administrateur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Vice-président exécutif</w:t>
            </w:r>
            <w:r w:rsidRPr="0047120A">
              <w:rPr>
                <w:rFonts w:asciiTheme="minorHAnsi" w:hAnsiTheme="minorHAnsi" w:cs="Arial"/>
                <w:lang w:val="en-US"/>
              </w:rPr>
              <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Labrador Iron Ore Royalty Corporation</w:t>
            </w:r>
            <w:r w:rsidR="00956DF9" w:rsidRPr="0047120A">
              <w:rPr>
                <w:rFonts w:asciiTheme="minorHAnsi" w:hAnsiTheme="minorHAnsi" w:cs="Arial"/>
              </w:rPr>
              <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Toronto, Ontario</w:t>
            </w:r>
            <w:r w:rsidR="00956DF9" w:rsidRPr="0047120A">
              <w:rPr>
                <w:rFonts w:asciiTheme="minorHAnsi" w:hAnsiTheme="minorHAnsi" w:cs="Arial"/>
              </w:rPr>
              <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 Strickland, BA (1) (2) (3)</w:t>
            </w:r>
            <w:r w:rsidR="00D84338">
              <w:rPr>
                <w:rFonts w:asciiTheme="minorHAnsi" w:hAnsiTheme="minorHAnsi" w:cs="Arial"/>
                <w:b/>
              </w:rPr>
              <w:t xml:space="preserve"/>
            </w:r>
            <w:r w:rsidRPr="0047120A">
              <w:rPr>
                <w:rFonts w:asciiTheme="minorHAnsi" w:hAnsiTheme="minorHAnsi" w:cs="Arial"/>
                <w:b/>
              </w:rPr>
              <w:t xml:space="preserve"/>
            </w:r>
            <w:r w:rsidRPr="0047120A">
              <w:rPr>
                <w:rFonts w:asciiTheme="minorHAnsi" w:hAnsiTheme="minorHAnsi" w:cs="Arial"/>
                <w:b/>
                <w:vertAlign w:val="superscript"/>
              </w:rPr>
              <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Administrateur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Directeur exécutif</w:t>
            </w:r>
            <w:r w:rsidR="005147F4">
              <w:rPr>
                <w:rFonts w:asciiTheme="minorHAnsi" w:hAnsiTheme="minorHAnsi" w:cs="Arial"/>
              </w:rPr>
              <w:t xml:space="preserve"/>
            </w:r>
            <w:r w:rsidR="003432B6" w:rsidRPr="0047120A">
              <w:rPr>
                <w:rFonts w:asciiTheme="minorHAnsi" w:hAnsiTheme="minorHAnsi" w:cs="Arial"/>
              </w:rPr>
              <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Syndicats des métiers de la construction du Canada</w:t>
            </w:r>
            <w:r w:rsidR="003432B6" w:rsidRPr="0047120A">
              <w:rPr>
                <w:rFonts w:asciiTheme="minorHAnsi" w:eastAsia="Arial" w:hAnsiTheme="minorHAnsi" w:cs="Arial"/>
              </w:rPr>
              <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Waterloo, Ontario</w:t>
            </w:r>
            <w:r w:rsidR="003432B6" w:rsidRPr="0047120A">
              <w:rPr>
                <w:rFonts w:asciiTheme="minorHAnsi" w:eastAsia="Arial" w:hAnsiTheme="minorHAnsi" w:cs="Arial"/>
              </w:rPr>
              <w:t/>
            </w:r>
            <w:r w:rsidR="00CB652F" w:rsidRPr="0047120A">
              <w:rPr>
                <w:rFonts w:asciiTheme="minorHAnsi" w:eastAsia="Arial" w:hAnsiTheme="minorHAnsi" w:cs="Arial"/>
              </w:rPr>
              <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Elizabeth Wademan, CFA, ICD.D</w:t>
            </w:r>
            <w:r w:rsidRPr="0047120A">
              <w:rPr>
                <w:rFonts w:asciiTheme="minorHAnsi" w:hAnsiTheme="minorHAnsi" w:cs="Arial"/>
                <w:b/>
              </w:rPr>
              <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
            </w:r>
            <w:r w:rsidRPr="0047120A">
              <w:rPr>
                <w:rFonts w:asciiTheme="minorHAnsi" w:hAnsiTheme="minorHAnsi" w:cs="Arial"/>
              </w:rPr>
              <w:t>Administrateur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Présidente et PDG de CDEV</w:t>
            </w:r>
            <w:r w:rsidR="00091D20" w:rsidRPr="0047120A">
              <w:rPr>
                <w:rFonts w:asciiTheme="minorHAnsi" w:hAnsiTheme="minorHAnsi" w:cs="Arial"/>
              </w:rPr>
              <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Toronto, Ontario</w:t>
            </w:r>
            <w:r w:rsidRPr="0047120A">
              <w:rPr>
                <w:rFonts w:asciiTheme="minorHAnsi" w:hAnsiTheme="minorHAnsi" w:cs="Arial"/>
              </w:rPr>
              <w:t/>
            </w:r>
            <w:r w:rsidR="00CB652F" w:rsidRPr="0047120A">
              <w:rPr>
                <w:rFonts w:asciiTheme="minorHAnsi" w:hAnsiTheme="minorHAnsi" w:cs="Arial"/>
              </w:rPr>
              <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 Notez que Stephen Swaffield a pris sa retraite du conseil d’administration de CDEV le 1er octobre 2024. Le conseil a nommé Jennifer Reynolds en tant qu'administratrice principale par intérim.</w:t>
      </w:r>
      <w:r w:rsidRPr="00477262">
        <w:rPr>
          <w:rFonts w:asciiTheme="minorHAnsi" w:hAnsiTheme="minorHAnsi" w:cs="Arial"/>
          <w:bCs/>
        </w:rPr>
        <w:t/>
      </w:r>
      <w:r w:rsidRPr="00477262">
        <w:rPr>
          <w:rFonts w:asciiTheme="minorHAnsi" w:hAnsiTheme="minorHAnsi" w:cs="Arial"/>
          <w:bCs/>
          <w:vertAlign w:val="superscript"/>
        </w:rPr>
        <w:t/>
      </w:r>
      <w:r w:rsidRPr="00477262">
        <w:rPr>
          <w:rFonts w:asciiTheme="minorHAnsi" w:hAnsiTheme="minorHAnsi" w:cs="Arial"/>
          <w:bCs/>
        </w:rPr>
        <w:t/>
      </w:r>
      <w:r w:rsidR="00D3555F">
        <w:rPr>
          <w:rFonts w:asciiTheme="minorHAnsi" w:hAnsiTheme="minorHAnsi" w:cs="Arial"/>
          <w:bCs/>
        </w:rPr>
        <w:t xml:space="preserve"/>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(1) Comité de vérification présidé par A. Damley</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Comité de nomination et de gouvernance présidé par S. Rosch</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Comité des ressources humaines présidé par J. Reynolds</w:t>
      </w:r>
      <w:bookmarkEnd w:id="45"/>
      <w:bookmarkEnd w:id="46"/>
      <w:r w:rsidRPr="0047120A">
        <w:rPr>
          <w:rFonts w:asciiTheme="minorHAnsi" w:hAnsiTheme="minorHAnsi" w:cs="Arial"/>
        </w:rPr>
        <w:t xml:space="preserve"/>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du directeur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initiale de nomination</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du mandat</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14 février 2023</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2027</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Adhésions des directeurs de CDEV, de ses filiales et de ses comités</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À partir des chartes des comités du Conseil, nous notons ce qui suit :</w:t>
      </w:r>
      <w:r w:rsidR="005F62C3">
        <w:t/>
      </w:r>
      <w:r w:rsidRPr="0047120A">
        <w:t xml:space="preserve"/>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Déclaration de mission – Comité d'audit de CDEV</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d'audit du Conseil d'administration (le « Comité d'audit ») de la Société est d’assister le Conseil d'administration dans l'exercice de ses responsabilités de supervision concernant l'intégrité des états financiers de la Société, sa conformité à toutes les exigences légales et réglementaires applicables, les qualifications, l'indépendance et la performance de ses auditeurs externes, ses contrôles internes, ses standards d'intégrité et de comportement, ainsi que d'exécuter les tâches supplémentaires stipulées dans cette Charte ou autrement déléguées par le Conseil d'administration.</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Déclaration de mission – Comité de nominations et de gouvernance de CDEV</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nominations et de gouvernance (le « Comité ») du Conseil d'administration (le « Conseil ») de la Société est d'appuyer le Conseil en (a) recommandant des politiques, des directives et des procédures de gouvernance, en proposant des recommandations pour renforcer l'efficacité du Conseil, (b) proposant la composition et la structure des comités du Conseil et des Conseils d'administration des filiales de la Société, et (c) en exécutant les tâches supplémentaires stipulées dans sa Charte ou autrement déléguées par le Conseil. Le Comité offre également son assistance aux Conseils d'administration des filiales de la Société sur des questions similaires si ces derniers en font la demande.</w:t>
      </w:r>
      <w:r w:rsidR="00A41BC1">
        <w:rPr>
          <w:rFonts w:cs="Arial"/>
          <w:sz w:val="22"/>
          <w:szCs w:val="22"/>
        </w:rPr>
        <w:t/>
      </w:r>
      <w:r w:rsidRPr="0047120A">
        <w:rPr>
          <w:rFonts w:cs="Arial"/>
          <w:sz w:val="22"/>
          <w:szCs w:val="22"/>
        </w:rPr>
        <w:t xml:space="preserve"/>
      </w:r>
      <w:r w:rsidR="00A41BC1">
        <w:rPr>
          <w:rFonts w:cs="Arial"/>
          <w:sz w:val="22"/>
          <w:szCs w:val="22"/>
        </w:rPr>
        <w:t/>
      </w:r>
      <w:r w:rsidRPr="0047120A">
        <w:rPr>
          <w:rFonts w:cs="Arial"/>
          <w:sz w:val="22"/>
          <w:szCs w:val="22"/>
        </w:rPr>
        <w:t/>
      </w:r>
      <w:r w:rsidR="009842F9">
        <w:rPr>
          <w:rFonts w:cs="Arial"/>
          <w:sz w:val="22"/>
          <w:szCs w:val="22"/>
        </w:rPr>
        <w:t/>
      </w:r>
      <w:r w:rsidRPr="0047120A">
        <w:rPr>
          <w:rFonts w:cs="Arial"/>
          <w:sz w:val="22"/>
          <w:szCs w:val="22"/>
        </w:rPr>
        <w:t xml:space="preserve"/>
      </w:r>
      <w:proofErr w:type="gramStart"/>
      <w:r w:rsidRPr="0047120A">
        <w:rPr>
          <w:rFonts w:cs="Arial"/>
          <w:sz w:val="22"/>
          <w:szCs w:val="22"/>
        </w:rPr>
        <w:t/>
      </w:r>
      <w:proofErr w:type="gramEnd"/>
      <w:r w:rsidRPr="0047120A">
        <w:rPr>
          <w:rFonts w:cs="Arial"/>
          <w:sz w:val="22"/>
          <w:szCs w:val="22"/>
        </w:rPr>
        <w:t xml:space="preserve"/>
      </w:r>
      <w:r w:rsidR="00CF6D28">
        <w:rPr>
          <w:rFonts w:cs="Arial"/>
          <w:sz w:val="22"/>
          <w:szCs w:val="22"/>
        </w:rPr>
        <w:t/>
      </w:r>
      <w:r w:rsidRPr="0047120A">
        <w:rPr>
          <w:rFonts w:cs="Arial"/>
          <w:sz w:val="22"/>
          <w:szCs w:val="22"/>
        </w:rPr>
        <w:t xml:space="preserve"/>
      </w:r>
      <w:r w:rsidR="00CF6D28">
        <w:rPr>
          <w:rFonts w:cs="Arial"/>
          <w:sz w:val="22"/>
          <w:szCs w:val="22"/>
        </w:rPr>
        <w:t/>
      </w:r>
      <w:r w:rsidRPr="0047120A">
        <w:rPr>
          <w:rFonts w:cs="Arial"/>
          <w:sz w:val="22"/>
          <w:szCs w:val="22"/>
        </w:rPr>
        <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Déclaration de mission – Comité des ressources humaines de CDEV</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des ressources humaines (le « Comité ») du Conseil d'administration (le « Conseil ») de la Société est d’assister le Conseil en (a) surveillant l'application du (des) Code(s) de conduite de la Société ainsi que des directives et règles connexes, (b) conseillant sur la succession du Président du Conseil, des administrateurs et du Président-directeur général (« Président-directeur général ») et de la haute direction, (c) conseillant sur la stratégie, les politiques et les pratiques en matière de ressources humaines de la Société, et (d) exécutant les tâches supplémentaires stipulées dans sa Charte ou autrement déléguées par le Conseil. Le Comité offre également son assistance aux Conseils d'administration des filiales de la Société sur des questions similaires si ces derniers en font la demande.</w:t>
      </w:r>
      <w:r w:rsidR="00147868">
        <w:rPr>
          <w:rFonts w:cs="Arial"/>
          <w:sz w:val="22"/>
          <w:szCs w:val="22"/>
        </w:rPr>
        <w:t/>
      </w:r>
      <w:r w:rsidRPr="0047120A">
        <w:rPr>
          <w:rFonts w:cs="Arial"/>
          <w:sz w:val="22"/>
          <w:szCs w:val="22"/>
        </w:rPr>
        <w:t xml:space="preserve"/>
      </w:r>
      <w:r w:rsidR="00147868">
        <w:rPr>
          <w:rFonts w:cs="Arial"/>
          <w:sz w:val="22"/>
          <w:szCs w:val="22"/>
        </w:rPr>
        <w:t/>
      </w:r>
      <w:r w:rsidRPr="0047120A">
        <w:rPr>
          <w:rFonts w:cs="Arial"/>
          <w:sz w:val="22"/>
          <w:szCs w:val="22"/>
        </w:rPr>
        <w:t xml:space="preserve"/>
      </w:r>
      <w:proofErr w:type="gramStart"/>
      <w:r w:rsidRPr="0047120A">
        <w:rPr>
          <w:rFonts w:cs="Arial"/>
          <w:sz w:val="22"/>
          <w:szCs w:val="22"/>
        </w:rPr>
        <w:t/>
      </w:r>
      <w:proofErr w:type="gramEnd"/>
      <w:r w:rsidRPr="0047120A">
        <w:rPr>
          <w:rFonts w:cs="Arial"/>
          <w:sz w:val="22"/>
          <w:szCs w:val="22"/>
        </w:rPr>
        <w:t xml:space="preserve"/>
      </w:r>
      <w:r w:rsidR="002F795B">
        <w:rPr>
          <w:rFonts w:cs="Arial"/>
          <w:sz w:val="22"/>
          <w:szCs w:val="22"/>
        </w:rPr>
        <w:t/>
      </w:r>
      <w:r w:rsidRPr="0047120A">
        <w:rPr>
          <w:rFonts w:cs="Arial"/>
          <w:sz w:val="22"/>
          <w:szCs w:val="22"/>
        </w:rPr>
        <w:t xml:space="preserve"/>
      </w:r>
      <w:r w:rsidR="002F795B">
        <w:rPr>
          <w:rFonts w:cs="Arial"/>
          <w:sz w:val="22"/>
          <w:szCs w:val="22"/>
        </w:rPr>
        <w:t/>
      </w:r>
      <w:r w:rsidRPr="0047120A">
        <w:rPr>
          <w:rFonts w:cs="Arial"/>
          <w:sz w:val="22"/>
          <w:szCs w:val="22"/>
        </w:rPr>
        <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Réunions</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Il y a quatre principales réunions du Conseil de CDEV au cours de l'année, où les administrateurs se réunissent pour les réunions du Conseil et des comités de CDEV et CHHC. CDEV tient également trois réunions du Conseil pour approuver les états financiers trimestriels. D'autres réunions peuvent être organisées de manière ad hoc selon les besoins. La participation aux réunions est extrêmement élevée, avec seulement quelques absences en raison d'engagements alternatifs. TMC organise ses propres réunions du Conseil distinctes et dispose de quatre comités : Audit, Santé et sécurité environnementale, Ressources humaines et Supervision des projets d'expansion. Les administrateurs de TMC sont élus pour des mandats d'un an, mais il n'y a pas de limite à leur réélection. CEEFC tient des réunions du Conseil en soutien au calendrier des réunions de CDEV et organise également des réunions ad hoc pour discuter des enjeux relatifs à son portefeuille.</w:t>
      </w:r>
      <w:r w:rsidR="00147868">
        <w:rPr>
          <w:rFonts w:cs="Arial"/>
        </w:rPr>
        <w:t/>
      </w:r>
      <w:r w:rsidRPr="0047120A">
        <w:rPr>
          <w:rFonts w:cs="Arial"/>
        </w:rPr>
        <w:t xml:space="preserve"/>
      </w:r>
      <w:r w:rsidR="00147868">
        <w:rPr>
          <w:rFonts w:cs="Arial"/>
        </w:rPr>
        <w:t/>
      </w:r>
      <w:r w:rsidRPr="0047120A">
        <w:rPr>
          <w:rFonts w:cs="Arial"/>
        </w:rPr>
        <w:t xml:space="preserve"/>
      </w:r>
      <w:r w:rsidR="00147868">
        <w:rPr>
          <w:rFonts w:cs="Arial"/>
        </w:rPr>
        <w:t/>
      </w:r>
      <w:r w:rsidRPr="0047120A">
        <w:rPr>
          <w:rFonts w:cs="Arial"/>
        </w:rPr>
        <w:t xml:space="preserve"/>
      </w:r>
      <w:r w:rsidR="00AA17FB">
        <w:rPr>
          <w:rFonts w:cs="Arial"/>
        </w:rPr>
        <w:t xml:space="preserve"/>
      </w:r>
      <w:r w:rsidRPr="0047120A">
        <w:rPr>
          <w:rFonts w:cs="Arial"/>
        </w:rPr>
        <w:t xml:space="preserve"/>
      </w:r>
      <w:r w:rsidR="00147868">
        <w:rPr>
          <w:rFonts w:cs="Arial"/>
        </w:rPr>
        <w:t/>
      </w:r>
      <w:r w:rsidRPr="0047120A">
        <w:rPr>
          <w:rFonts w:cs="Arial"/>
        </w:rPr>
        <w:t xml:space="preserve"/>
      </w:r>
      <w:r w:rsidR="008B1AD6">
        <w:rPr>
          <w:rFonts w:cs="Arial"/>
        </w:rPr>
        <w:t/>
      </w:r>
      <w:r w:rsidRPr="0047120A">
        <w:rPr>
          <w:rFonts w:cs="Arial"/>
        </w:rPr>
        <w:t xml:space="preserve"/>
      </w:r>
      <w:proofErr w:type="gramStart"/>
      <w:r w:rsidRPr="0047120A">
        <w:rPr>
          <w:rFonts w:cs="Arial"/>
        </w:rPr>
        <w:t/>
      </w:r>
      <w:proofErr w:type="gramEnd"/>
      <w:r w:rsidRPr="0047120A">
        <w:rPr>
          <w:rFonts w:cs="Arial"/>
        </w:rPr>
        <w:t xml:space="preserve"/>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Les Conseils d'administration de CDEV et de ses filiales sont responsables de la gestion de leurs risques d'entreprise. Sur une base annuelle, et en cas de changement des risques, la direction présente des rapports à chaque Conseil sur les risques spécifiques à chaque société et les actions d'atténuation prises pour réduire les impacts des risques. Le Conseil de CDEV reçoit des résumés de rapports de risque pour chaque filiale.</w:t>
      </w:r>
      <w:r w:rsidR="00147868">
        <w:rPr>
          <w:rFonts w:cs="Arial"/>
        </w:rPr>
        <w:t/>
      </w:r>
      <w:r w:rsidRPr="0047120A">
        <w:rPr>
          <w:rFonts w:cs="Arial"/>
        </w:rPr>
        <w:t xml:space="preserve"/>
      </w:r>
      <w:r w:rsidR="007D0956">
        <w:rPr>
          <w:rFonts w:cs="Arial"/>
        </w:rPr>
        <w:t/>
      </w:r>
      <w:r w:rsidRPr="0047120A">
        <w:rPr>
          <w:rFonts w:cs="Arial"/>
        </w:rPr>
        <w:t xml:space="preserve"/>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des Conseils d'administration des filiales</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Conseil d'administration de CHHC est composé exclusivement des directeurs de CDEV. TMP Finance et CEI sont composés exclusivement des dirigeants de CDEV. Le président est nommé par les conseils respectifs. Les administrateurs de TMC sont nommés par le Conseil de CDEV. Bien que cela ne soit pas obligatoire, CDEV consultera le gouvernement pour la composition du Conseil de TMC. CDEV a le droit de nommer d'autres administrateurs et consulte généralement le président de TMC. Le Conseil de CEEFC est constitué de deux directeurs de CDEV, trois administrateurs indépendants, du Vice-président exécutif et Chef de la stratégie commerciale de CDEV, ainsi que du Président-directeur général de CEEFC. Le Conseil de CGF est actuellement composé du Président de CDEV et du Président-directeur général de CDEV.</w:t>
      </w:r>
      <w:r w:rsidR="00AA2258">
        <w:rPr>
          <w:rFonts w:cs="Arial"/>
        </w:rPr>
        <w:t/>
      </w:r>
      <w:r w:rsidRPr="0047120A">
        <w:rPr>
          <w:rFonts w:cs="Arial"/>
        </w:rPr>
        <w:t xml:space="preserve"/>
      </w:r>
      <w:r w:rsidR="00AA2258">
        <w:rPr>
          <w:rFonts w:cs="Arial"/>
        </w:rPr>
        <w:t/>
      </w:r>
      <w:r w:rsidRPr="0047120A">
        <w:rPr>
          <w:rFonts w:cs="Arial"/>
        </w:rPr>
        <w:t xml:space="preserve"/>
      </w:r>
      <w:r w:rsidRPr="0047120A">
        <w:rPr>
          <w:rFonts w:cs="Arial"/>
        </w:rPr>
        <w:lastRenderedPageBreak/>
        <w:t xml:space="preserve"/>
      </w:r>
      <w:r w:rsidR="00D3730F">
        <w:rPr>
          <w:rFonts w:cs="Arial"/>
        </w:rPr>
        <w:t/>
      </w:r>
      <w:r w:rsidRPr="0047120A">
        <w:rPr>
          <w:rFonts w:cs="Arial"/>
        </w:rPr>
        <w:t/>
      </w:r>
      <w:r w:rsidR="00D3730F">
        <w:rPr>
          <w:rFonts w:cs="Arial"/>
        </w:rPr>
        <w:t/>
      </w:r>
      <w:r w:rsidRPr="0047120A">
        <w:rPr>
          <w:rFonts w:cs="Arial"/>
        </w:rPr>
        <w:t xml:space="preserve"/>
      </w:r>
      <w:r w:rsidR="003064F5">
        <w:rPr>
          <w:rFonts w:cs="Arial"/>
        </w:rPr>
        <w:t xml:space="preserve"/>
      </w:r>
      <w:r w:rsidRPr="0047120A">
        <w:rPr>
          <w:rFonts w:cs="Arial"/>
        </w:rPr>
        <w:t xml:space="preserve"/>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de direction de CDEV</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Présidente-directrice générale</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Chef de la stratégie commerciale</w:t>
            </w:r>
            <w:r w:rsidR="00AC77C8" w:rsidRPr="0047120A">
              <w:rPr>
                <w:rFonts w:asciiTheme="minorHAnsi" w:hAnsiTheme="minorHAnsi" w:cs="Arial"/>
              </w:rPr>
              <w:t xml:space="preserve"/>
            </w:r>
            <w:r w:rsidRPr="0047120A">
              <w:rPr>
                <w:rFonts w:asciiTheme="minorHAnsi" w:hAnsiTheme="minorHAnsi" w:cs="Arial"/>
              </w:rPr>
              <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Directeur financier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Lofsky</w:t>
            </w:r>
            <w:proofErr w:type="spellStart"/>
            <w:r w:rsidRPr="0047120A">
              <w:rPr>
                <w:rFonts w:asciiTheme="minorHAnsi" w:hAnsiTheme="minorHAnsi" w:cs="Arial"/>
                <w:b/>
              </w:rPr>
              <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Avocate générale et secrétaire corporative</w:t>
            </w:r>
            <w:r w:rsidR="00247731" w:rsidRPr="0047120A">
              <w:rPr>
                <w:rFonts w:asciiTheme="minorHAnsi" w:hAnsiTheme="minorHAnsi" w:cs="Arial"/>
              </w:rPr>
              <w:t/>
            </w:r>
            <w:r w:rsidRPr="0047120A">
              <w:rPr>
                <w:rFonts w:asciiTheme="minorHAnsi" w:hAnsiTheme="minorHAnsi" w:cs="Arial"/>
              </w:rPr>
              <w:t xml:space="preserve"/>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 et chef de l'exécution et des conseils</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chef des communications et des affaires publiques</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ANNEXE A-2 : États financiers consolidés pro forma de CDEV</w:t>
      </w:r>
      <w:r w:rsidR="005B303B" w:rsidRPr="00F23CD7">
        <w:rPr>
          <w:sz w:val="28"/>
          <w:szCs w:val="28"/>
        </w:rPr>
        <w:t xml:space="preserve"/>
      </w:r>
      <w:r w:rsidR="00D43325">
        <w:rPr>
          <w:sz w:val="28"/>
          <w:szCs w:val="28"/>
        </w:rPr>
        <w:t/>
      </w:r>
      <w:r w:rsidR="005B303B" w:rsidRPr="00F23CD7">
        <w:rPr>
          <w:sz w:val="28"/>
          <w:szCs w:val="28"/>
        </w:rPr>
        <w:t/>
      </w:r>
      <w:r w:rsidR="007444E9">
        <w:rPr>
          <w:sz w:val="28"/>
          <w:szCs w:val="28"/>
        </w:rPr>
        <w:t/>
      </w:r>
      <w:r w:rsidR="00405A94" w:rsidRPr="00F23CD7">
        <w:rPr>
          <w:sz w:val="28"/>
          <w:szCs w:val="28"/>
        </w:rPr>
        <w:t xml:space="preserve"/>
      </w:r>
      <w:r w:rsidR="002E3B76" w:rsidRPr="00F23CD7">
        <w:rPr>
          <w:sz w:val="28"/>
          <w:szCs w:val="28"/>
        </w:rPr>
        <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ANNEXE A-3 : Résultats prévus pour 2025 et au-delà</w:t>
      </w:r>
      <w:r w:rsidR="007444E9">
        <w:rPr>
          <w:sz w:val="28"/>
          <w:szCs w:val="28"/>
        </w:rPr>
        <w:t/>
      </w:r>
      <w:r w:rsidR="004E0960" w:rsidRPr="00BF0C52">
        <w:rPr>
          <w:sz w:val="28"/>
          <w:szCs w:val="28"/>
        </w:rPr>
        <w:t xml:space="preserve"/>
      </w:r>
      <w:r w:rsidR="00F63852">
        <w:rPr>
          <w:sz w:val="28"/>
          <w:szCs w:val="28"/>
        </w:rPr>
        <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attendus</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Objectif(s)</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de 2024 (année précédente)</w:t>
            </w:r>
            <w:r w:rsidR="008E1B7C" w:rsidRPr="006A1526">
              <w:rPr>
                <w:rFonts w:asciiTheme="minorHAnsi" w:hAnsiTheme="minorHAnsi" w:cs="Arial"/>
                <w:b/>
                <w:sz w:val="20"/>
                <w:szCs w:val="20"/>
              </w:rPr>
              <w:t/>
            </w:r>
            <w:r w:rsidRPr="006A1526">
              <w:rPr>
                <w:rFonts w:asciiTheme="minorHAnsi" w:hAnsiTheme="minorHAnsi" w:cs="Arial"/>
                <w:b/>
                <w:sz w:val="20"/>
                <w:szCs w:val="20"/>
              </w:rPr>
              <w:t xml:space="preserve"/>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(Période de 2 ans à venir)</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doit faire progresser son orientation stratégique et actualiser ses énoncés de mission, de vision et de valeurs.</w:t>
            </w:r>
            <w:r w:rsidR="002878B9" w:rsidRPr="00462C5F">
              <w:rPr>
                <w:rFonts w:asciiTheme="minorHAnsi" w:hAnsiTheme="minorHAnsi"/>
                <w:sz w:val="20"/>
              </w:rPr>
              <w:t/>
            </w:r>
            <w:r w:rsidRPr="00462C5F">
              <w:rPr>
                <w:rFonts w:asciiTheme="minorHAnsi" w:hAnsiTheme="minorHAnsi"/>
                <w:sz w:val="20"/>
              </w:rPr>
              <w:t xml:space="preserve"/>
            </w:r>
            <w:r w:rsidR="00B96492" w:rsidRPr="00462C5F">
              <w:rPr>
                <w:rFonts w:asciiTheme="minorHAnsi" w:hAnsiTheme="minorHAnsi"/>
                <w:sz w:val="20"/>
              </w:rPr>
              <w:t/>
            </w:r>
            <w:r w:rsidRPr="00462C5F">
              <w:rPr>
                <w:rFonts w:asciiTheme="minorHAnsi" w:hAnsiTheme="minorHAnsi"/>
                <w:sz w:val="20"/>
              </w:rPr>
              <w:t xml:space="preserve"/>
            </w:r>
            <w:r w:rsidR="00E32B28" w:rsidRPr="00462C5F">
              <w:rPr>
                <w:rFonts w:asciiTheme="minorHAnsi" w:hAnsiTheme="minorHAnsi"/>
                <w:sz w:val="20"/>
              </w:rPr>
              <w:t/>
            </w:r>
            <w:r w:rsidRPr="00462C5F">
              <w:rPr>
                <w:rFonts w:asciiTheme="minorHAnsi" w:hAnsiTheme="minorHAnsi"/>
                <w:sz w:val="20"/>
              </w:rPr>
              <w:t xml:space="preserve"/>
            </w:r>
            <w:r w:rsidR="00ED6D2C" w:rsidRPr="00462C5F">
              <w:rPr>
                <w:rFonts w:asciiTheme="minorHAnsi" w:hAnsiTheme="minorHAnsi"/>
                <w:sz w:val="20"/>
              </w:rPr>
              <w:t xml:space="preserve"/>
            </w:r>
            <w:r w:rsidR="004E2F81" w:rsidRPr="00462C5F">
              <w:rPr>
                <w:rFonts w:asciiTheme="minorHAnsi" w:hAnsiTheme="minorHAnsi"/>
                <w:sz w:val="20"/>
              </w:rPr>
              <w:t/>
            </w:r>
            <w:r w:rsidR="0018619C" w:rsidRPr="00462C5F">
              <w:rPr>
                <w:rFonts w:asciiTheme="minorHAnsi" w:hAnsiTheme="minorHAnsi"/>
                <w:sz w:val="20"/>
              </w:rPr>
              <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Exécution selon les piliers d'expertise et expansion des offres en fonction de la demande</w:t>
            </w:r>
            <w:r w:rsidR="007D7DE8" w:rsidRPr="00462C5F">
              <w:rPr>
                <w:rFonts w:asciiTheme="minorHAnsi" w:hAnsiTheme="minorHAnsi"/>
                <w:sz w:val="20"/>
              </w:rPr>
              <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Plan stratégique de 2025 approuvé avec des orientations pour aller de l'avant.</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Évaluation de la performance basée sur l'apport et la valeur ajoutée des transactions de CDEV.</w:t>
            </w:r>
            <w:r w:rsidR="002126D5" w:rsidRPr="00462C5F">
              <w:rPr>
                <w:rFonts w:asciiTheme="minorHAnsi" w:hAnsiTheme="minorHAnsi"/>
                <w:sz w:val="20"/>
              </w:rPr>
              <w:t xml:space="preserve"/>
            </w:r>
            <w:r w:rsidR="004F16DE" w:rsidRPr="00462C5F">
              <w:rPr>
                <w:rFonts w:asciiTheme="minorHAnsi" w:hAnsiTheme="minorHAnsi"/>
                <w:sz w:val="20"/>
              </w:rPr>
              <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Soutien apporté à CEEFC dans ses diverses activités, y compris l'administration des prêts et le suivi des prêts existants et des tirages de fonds.</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gestion des remboursements de prêts et recouvrement des intérêts conformément aux contrats.</w:t>
            </w:r>
            <w:r w:rsidR="008E1B7C" w:rsidRPr="006A1526">
              <w:rPr>
                <w:rFonts w:asciiTheme="minorHAnsi" w:hAnsiTheme="minorHAnsi" w:cs="Arial"/>
                <w:sz w:val="20"/>
              </w:rPr>
              <w:t/>
            </w:r>
            <w:r w:rsidRPr="006A1526">
              <w:rPr>
                <w:rFonts w:asciiTheme="minorHAnsi" w:hAnsiTheme="minorHAnsi" w:cs="Arial"/>
                <w:sz w:val="20"/>
              </w:rPr>
              <w:t xml:space="preserve"/>
            </w:r>
            <w:r w:rsidR="008E1B7C" w:rsidRPr="006A1526">
              <w:rPr>
                <w:rFonts w:asciiTheme="minorHAnsi" w:hAnsiTheme="minorHAnsi" w:cs="Arial"/>
                <w:sz w:val="20"/>
              </w:rPr>
              <w:t/>
            </w:r>
            <w:r w:rsidRPr="006A1526">
              <w:rPr>
                <w:rFonts w:asciiTheme="minorHAnsi" w:hAnsiTheme="minorHAnsi" w:cs="Arial"/>
                <w:sz w:val="20"/>
              </w:rPr>
              <w:t xml:space="preserve"/>
            </w:r>
            <w:r w:rsidR="008E1B7C" w:rsidRPr="006A1526">
              <w:rPr>
                <w:rFonts w:asciiTheme="minorHAnsi" w:hAnsiTheme="minorHAnsi" w:cs="Arial"/>
                <w:sz w:val="20"/>
              </w:rPr>
              <w:t/>
            </w:r>
            <w:r w:rsidRPr="006A1526">
              <w:rPr>
                <w:rFonts w:asciiTheme="minorHAnsi" w:hAnsiTheme="minorHAnsi" w:cs="Arial"/>
                <w:sz w:val="20"/>
              </w:rPr>
              <w:t/>
            </w:r>
            <w:r w:rsidR="008E1B7C" w:rsidRPr="006A1526">
              <w:rPr>
                <w:rFonts w:asciiTheme="minorHAnsi" w:hAnsiTheme="minorHAnsi" w:cs="Arial"/>
                <w:sz w:val="20"/>
              </w:rPr>
              <w:t/>
            </w:r>
            <w:r w:rsidRPr="006A1526">
              <w:rPr>
                <w:rFonts w:asciiTheme="minorHAnsi" w:hAnsiTheme="minorHAnsi" w:cs="Arial"/>
                <w:sz w:val="20"/>
              </w:rPr>
              <w:t xml:space="preserve"/>
            </w:r>
            <w:r w:rsidR="008E1B7C" w:rsidRPr="006A1526">
              <w:rPr>
                <w:rFonts w:asciiTheme="minorHAnsi" w:hAnsiTheme="minorHAnsi" w:cs="Arial"/>
                <w:sz w:val="20"/>
              </w:rPr>
              <w:t/>
            </w:r>
            <w:r w:rsidRPr="006A1526">
              <w:rPr>
                <w:rFonts w:asciiTheme="minorHAnsi" w:hAnsiTheme="minorHAnsi" w:cs="Arial"/>
                <w:sz w:val="20"/>
              </w:rPr>
              <w:t xml:space="preserve"/>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Suivi du portefeuille de prêts, incluant les remboursements, le recouvrement des intérêts dans les délais impartis et les calculs corrects des remboursements.</w:t>
            </w:r>
            <w:r w:rsidR="00E90495" w:rsidRPr="006A1526">
              <w:rPr>
                <w:rFonts w:asciiTheme="minorHAnsi" w:hAnsiTheme="minorHAnsi" w:cs="Arial"/>
                <w:sz w:val="20"/>
              </w:rPr>
              <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ont exécuté des fonctions pour CEEFC dans les délais requis.</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Le rapport sur le portefeuille de prêts est présenté trimestriellement au Conseil, avec des mises à jour semi-trimestrielles. L'accent est désormais mis sur la gestion du portefeuille, les remboursements de prêts et les négociations.</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continuera de gérer ses opérations avec succès.</w:t>
            </w:r>
            <w:r w:rsidR="00DD70A4" w:rsidRPr="006A1526">
              <w:rPr>
                <w:rFonts w:asciiTheme="minorHAnsi" w:hAnsiTheme="minorHAnsi" w:cs="Arial"/>
                <w:sz w:val="20"/>
              </w:rPr>
              <w:t xml:space="preserve"/>
            </w:r>
            <w:r w:rsidRPr="006A1526">
              <w:rPr>
                <w:rFonts w:asciiTheme="minorHAnsi" w:hAnsiTheme="minorHAnsi" w:cs="Arial"/>
                <w:sz w:val="20"/>
              </w:rPr>
              <w:t xml:space="preserve"/>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le rendement des investissements grâce à la participation de CHHC et à ses contributions aux réunions exécutives de HMDC, vendre du pétrole brut au prix du marché et financer les dépenses d'immobilisations.</w:t>
            </w:r>
            <w:r w:rsidR="00AE01A4" w:rsidRPr="006A1526">
              <w:rPr>
                <w:rFonts w:asciiTheme="minorHAnsi" w:hAnsiTheme="minorHAnsi" w:cs="Arial"/>
                <w:sz w:val="20"/>
              </w:rPr>
              <w:t/>
            </w:r>
            <w:r w:rsidR="008627CC" w:rsidRPr="006A1526">
              <w:rPr>
                <w:rFonts w:asciiTheme="minorHAnsi" w:hAnsiTheme="minorHAnsi" w:cs="Arial"/>
                <w:sz w:val="20"/>
              </w:rPr>
              <w:t xml:space="preserve"/>
            </w:r>
            <w:r w:rsidR="008D3752" w:rsidRPr="006A1526">
              <w:rPr>
                <w:rFonts w:asciiTheme="minorHAnsi" w:hAnsiTheme="minorHAnsi" w:cs="Arial"/>
                <w:sz w:val="20"/>
              </w:rPr>
              <w:t xml:space="preserve"/>
            </w:r>
            <w:r w:rsidR="00AE01A4" w:rsidRPr="006A1526">
              <w:rPr>
                <w:rFonts w:asciiTheme="minorHAnsi" w:hAnsiTheme="minorHAnsi" w:cs="Arial"/>
                <w:sz w:val="20"/>
              </w:rPr>
              <w:t xml:space="preserve"/>
            </w:r>
            <w:r w:rsidR="00300483" w:rsidRPr="006A1526">
              <w:rPr>
                <w:rFonts w:asciiTheme="minorHAnsi" w:hAnsiTheme="minorHAnsi" w:cs="Arial"/>
                <w:sz w:val="20"/>
              </w:rPr>
              <w:t xml:space="preserve"/>
            </w:r>
            <w:r w:rsidR="00583CB1" w:rsidRPr="006A1526">
              <w:rPr>
                <w:rFonts w:asciiTheme="minorHAnsi" w:hAnsiTheme="minorHAnsi" w:cs="Arial"/>
                <w:sz w:val="20"/>
              </w:rPr>
              <w:t xml:space="preserve"/>
            </w:r>
            <w:r w:rsidR="008D3752" w:rsidRPr="006A1526">
              <w:rPr>
                <w:rFonts w:asciiTheme="minorHAnsi" w:hAnsiTheme="minorHAnsi" w:cs="Arial"/>
                <w:sz w:val="20"/>
              </w:rPr>
              <w:t xml:space="preserve"/>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Objectif de revenu net 2025 de CHHC : 60,5 millions $.</w:t>
            </w:r>
            <w:r w:rsidR="00E03700" w:rsidRPr="006A1526">
              <w:rPr>
                <w:rFonts w:asciiTheme="minorHAnsi" w:hAnsiTheme="minorHAnsi" w:cs="Arial"/>
                <w:bCs/>
                <w:sz w:val="20"/>
                <w:szCs w:val="20"/>
              </w:rPr>
              <w:t/>
            </w:r>
            <w:r w:rsidR="0089222B" w:rsidRPr="006A1526">
              <w:rPr>
                <w:rFonts w:asciiTheme="minorHAnsi" w:hAnsiTheme="minorHAnsi" w:cs="Arial"/>
                <w:bCs/>
                <w:sz w:val="20"/>
                <w:szCs w:val="20"/>
              </w:rPr>
              <w:t/>
            </w:r>
            <w:r w:rsidR="0058624A" w:rsidRPr="006A1526">
              <w:rPr>
                <w:rFonts w:asciiTheme="minorHAnsi" w:hAnsiTheme="minorHAnsi" w:cs="Arial"/>
                <w:bCs/>
                <w:sz w:val="20"/>
                <w:szCs w:val="20"/>
              </w:rPr>
              <w:t xml:space="preserve"/>
            </w:r>
            <w:r w:rsidR="001F5BC8" w:rsidRPr="006A1526">
              <w:rPr>
                <w:rFonts w:asciiTheme="minorHAnsi" w:hAnsiTheme="minorHAnsi" w:cs="Arial"/>
                <w:bCs/>
                <w:sz w:val="20"/>
                <w:szCs w:val="20"/>
              </w:rPr>
              <w:t/>
            </w:r>
            <w:r w:rsidR="008F5F81" w:rsidRPr="006A1526">
              <w:rPr>
                <w:rFonts w:asciiTheme="minorHAnsi" w:hAnsiTheme="minorHAnsi" w:cs="Arial"/>
                <w:bCs/>
                <w:sz w:val="20"/>
                <w:szCs w:val="20"/>
              </w:rPr>
              <w:t xml:space="preserve"/>
            </w:r>
            <w:r w:rsidR="00315506" w:rsidRPr="006A1526">
              <w:rPr>
                <w:rFonts w:asciiTheme="minorHAnsi" w:hAnsiTheme="minorHAnsi" w:cs="Arial"/>
                <w:bCs/>
                <w:sz w:val="20"/>
                <w:szCs w:val="20"/>
              </w:rPr>
              <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D'ici la fin de 2024, CHHC prévoit des dividendes cumulés de 2,64 milliards $, 367 millions $ d'intérêts sur bénéfices nets fédéraux et 789 millions $ en impôts fédéraux sur le revenu.</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exploitera le système de pipeline Trans Mountain de manière sûre et efficace.</w:t>
            </w:r>
            <w:r w:rsidR="00B87041" w:rsidRPr="006A1526">
              <w:rPr>
                <w:rFonts w:asciiTheme="minorHAnsi" w:hAnsiTheme="minorHAnsi" w:cs="Arial"/>
                <w:sz w:val="20"/>
              </w:rPr>
              <w:t xml:space="preserve"/>
            </w:r>
            <w:r w:rsidRPr="006A1526">
              <w:rPr>
                <w:rFonts w:asciiTheme="minorHAnsi" w:hAnsiTheme="minorHAnsi" w:cs="Arial"/>
                <w:sz w:val="20"/>
              </w:rPr>
              <w:t xml:space="preserve"/>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Évaluation des performances basée sur les revenus d'exploitation et les dépenses conformément à leur performance financière planifiée.</w:t>
            </w:r>
            <w:r w:rsidR="008D3752" w:rsidRPr="006A1526">
              <w:rPr>
                <w:rFonts w:asciiTheme="minorHAnsi" w:hAnsiTheme="minorHAnsi" w:cs="Arial"/>
                <w:sz w:val="20"/>
              </w:rPr>
              <w:t xml:space="preserve"/>
            </w:r>
            <w:r w:rsidRPr="006A1526">
              <w:rPr>
                <w:rFonts w:asciiTheme="minorHAnsi" w:hAnsiTheme="minorHAnsi" w:cs="Arial"/>
                <w:sz w:val="20"/>
              </w:rPr>
              <w:t xml:space="preserve"/>
            </w:r>
            <w:r w:rsidR="008D3752" w:rsidRPr="006A1526">
              <w:rPr>
                <w:rFonts w:asciiTheme="minorHAnsi" w:hAnsiTheme="minorHAnsi" w:cs="Arial"/>
                <w:sz w:val="20"/>
              </w:rPr>
              <w:t xml:space="preserve"/>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Objectif d'EBITDA 2025 : 2,214 millions $.</w:t>
            </w:r>
            <w:r w:rsidR="00780280" w:rsidRPr="006A1526">
              <w:rPr>
                <w:rFonts w:asciiTheme="minorHAnsi" w:hAnsiTheme="minorHAnsi" w:cs="Arial"/>
                <w:sz w:val="20"/>
              </w:rPr>
              <w:t/>
            </w:r>
            <w:r w:rsidRPr="006A1526">
              <w:rPr>
                <w:rFonts w:asciiTheme="minorHAnsi" w:hAnsiTheme="minorHAnsi" w:cs="Arial"/>
                <w:sz w:val="20"/>
              </w:rPr>
              <w:t xml:space="preserve"/>
            </w:r>
            <w:r w:rsidR="00B62913" w:rsidRPr="006A1526">
              <w:rPr>
                <w:rFonts w:asciiTheme="minorHAnsi" w:hAnsiTheme="minorHAnsi" w:cs="Arial"/>
                <w:sz w:val="20"/>
              </w:rPr>
              <w:t xml:space="preserve"/>
            </w:r>
            <w:r w:rsidRPr="006A1526">
              <w:rPr>
                <w:rFonts w:asciiTheme="minorHAnsi" w:hAnsiTheme="minorHAnsi" w:cs="Arial"/>
                <w:sz w:val="20"/>
              </w:rPr>
              <w:t xml:space="preserve"/>
            </w:r>
            <w:r w:rsidR="00C32184" w:rsidRPr="006A1526">
              <w:rPr>
                <w:rFonts w:asciiTheme="minorHAnsi" w:hAnsiTheme="minorHAnsi" w:cs="Arial"/>
                <w:sz w:val="20"/>
              </w:rPr>
              <w:t/>
            </w:r>
            <w:r w:rsidRPr="006A1526">
              <w:rPr>
                <w:rFonts w:asciiTheme="minorHAnsi" w:hAnsiTheme="minorHAnsi" w:cs="Arial"/>
                <w:sz w:val="20"/>
              </w:rPr>
              <w:t xml:space="preserve"/>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d'EBITDA 2024 : 1,342 millions $ (USGAAP).</w:t>
            </w:r>
            <w:r w:rsidR="00780280" w:rsidRPr="006A1526">
              <w:rPr>
                <w:rFonts w:asciiTheme="minorHAnsi" w:hAnsiTheme="minorHAnsi" w:cs="Arial"/>
                <w:sz w:val="20"/>
              </w:rPr>
              <w:t/>
            </w:r>
            <w:r w:rsidRPr="006A1526">
              <w:rPr>
                <w:rFonts w:asciiTheme="minorHAnsi" w:hAnsiTheme="minorHAnsi" w:cs="Arial"/>
                <w:sz w:val="20"/>
              </w:rPr>
              <w:t xml:space="preserve"/>
            </w:r>
            <w:r w:rsidR="00F476F9" w:rsidRPr="006A1526">
              <w:rPr>
                <w:rFonts w:asciiTheme="minorHAnsi" w:hAnsiTheme="minorHAnsi" w:cs="Arial"/>
                <w:sz w:val="20"/>
              </w:rPr>
              <w:t/>
            </w:r>
            <w:r w:rsidR="00780A25" w:rsidRPr="006A1526">
              <w:rPr>
                <w:rFonts w:asciiTheme="minorHAnsi" w:hAnsiTheme="minorHAnsi" w:cs="Arial"/>
                <w:sz w:val="20"/>
              </w:rPr>
              <w:t/>
            </w:r>
            <w:r w:rsidRPr="006A1526">
              <w:rPr>
                <w:rFonts w:asciiTheme="minorHAnsi" w:hAnsiTheme="minorHAnsi" w:cs="Arial"/>
                <w:sz w:val="20"/>
              </w:rPr>
              <w:t xml:space="preserve"/>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TMC est prêt pour une éventuelle monétisation commerciale, incluant le règlement des tarifs et la Participation Économique Autochtone (IEP).</w:t>
            </w:r>
            <w:r w:rsidR="00BC2D14" w:rsidRPr="006A1526">
              <w:rPr>
                <w:rFonts w:asciiTheme="minorHAnsi" w:hAnsiTheme="minorHAnsi" w:cs="Arial"/>
                <w:sz w:val="20"/>
              </w:rPr>
              <w:t/>
            </w:r>
            <w:r w:rsidR="00F34517" w:rsidRPr="006A1526">
              <w:rPr>
                <w:rFonts w:asciiTheme="minorHAnsi" w:hAnsiTheme="minorHAnsi" w:cs="Arial"/>
                <w:sz w:val="20"/>
              </w:rPr>
              <w:t/>
            </w:r>
            <w:r w:rsidR="00B91A82" w:rsidRPr="006A1526">
              <w:rPr>
                <w:rFonts w:asciiTheme="minorHAnsi" w:hAnsiTheme="minorHAnsi" w:cs="Arial"/>
                <w:sz w:val="20"/>
              </w:rPr>
              <w:t xml:space="preserve"/>
            </w:r>
            <w:r w:rsidR="00F34517" w:rsidRPr="006A1526">
              <w:rPr>
                <w:rFonts w:asciiTheme="minorHAnsi" w:hAnsiTheme="minorHAnsi" w:cs="Arial"/>
                <w:sz w:val="20"/>
              </w:rPr>
              <w:t xml:space="preserve"/>
            </w:r>
            <w:r w:rsidR="0008180B" w:rsidRPr="006A1526">
              <w:rPr>
                <w:rFonts w:asciiTheme="minorHAnsi" w:hAnsiTheme="minorHAnsi" w:cs="Arial"/>
                <w:sz w:val="20"/>
              </w:rPr>
              <w:t/>
            </w:r>
            <w:r w:rsidR="00BB7CCC" w:rsidRPr="006A1526">
              <w:rPr>
                <w:rFonts w:asciiTheme="minorHAnsi" w:hAnsiTheme="minorHAnsi" w:cs="Arial"/>
                <w:sz w:val="20"/>
              </w:rPr>
              <w:t/>
            </w:r>
            <w:r w:rsidR="0008180B" w:rsidRPr="006A1526">
              <w:rPr>
                <w:rFonts w:asciiTheme="minorHAnsi" w:hAnsiTheme="minorHAnsi" w:cs="Arial"/>
                <w:sz w:val="20"/>
              </w:rPr>
              <w:t/>
            </w:r>
            <w:r w:rsidR="00F22A36" w:rsidRPr="006A1526">
              <w:rPr>
                <w:rFonts w:asciiTheme="minorHAnsi" w:hAnsiTheme="minorHAnsi" w:cs="Arial"/>
                <w:sz w:val="20"/>
              </w:rPr>
              <w:t xml:space="preserve"/>
            </w:r>
            <w:r w:rsidR="0008180B" w:rsidRPr="006A1526">
              <w:rPr>
                <w:rFonts w:asciiTheme="minorHAnsi" w:hAnsiTheme="minorHAnsi" w:cs="Arial"/>
                <w:sz w:val="20"/>
              </w:rPr>
              <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Besoins financiers satisfaits pour aider à la prise de décision. Établissement d'une filiale de CDEV pour gérer les prêts aux bénéficiaires du programme IEP.</w:t>
            </w:r>
            <w:r w:rsidR="00347E58" w:rsidRPr="006A1526">
              <w:rPr>
                <w:rFonts w:asciiTheme="minorHAnsi" w:hAnsiTheme="minorHAnsi" w:cs="Arial"/>
                <w:sz w:val="20"/>
              </w:rPr>
              <w:t xml:space="preserve"/>
            </w:r>
            <w:r w:rsidR="00D60263" w:rsidRPr="006A1526">
              <w:rPr>
                <w:rFonts w:asciiTheme="minorHAnsi" w:hAnsiTheme="minorHAnsi" w:cs="Arial"/>
                <w:sz w:val="20"/>
              </w:rPr>
              <w:t/>
            </w:r>
            <w:r w:rsidR="00347E58" w:rsidRPr="006A1526">
              <w:rPr>
                <w:rFonts w:asciiTheme="minorHAnsi" w:hAnsiTheme="minorHAnsi" w:cs="Arial"/>
                <w:sz w:val="20"/>
              </w:rPr>
              <w:t xml:space="preserve"/>
            </w:r>
            <w:r w:rsidRPr="006A1526">
              <w:rPr>
                <w:rFonts w:asciiTheme="minorHAnsi" w:hAnsiTheme="minorHAnsi" w:cs="Arial"/>
                <w:sz w:val="20"/>
              </w:rPr>
              <w:t xml:space="preserve"/>
            </w:r>
            <w:r w:rsidR="00347E58" w:rsidRPr="006A1526">
              <w:rPr>
                <w:rFonts w:asciiTheme="minorHAnsi" w:hAnsiTheme="minorHAnsi" w:cs="Arial"/>
                <w:sz w:val="20"/>
              </w:rPr>
              <w:t/>
            </w:r>
            <w:r w:rsidR="007A1458" w:rsidRPr="006A1526">
              <w:rPr>
                <w:rFonts w:asciiTheme="minorHAnsi" w:hAnsiTheme="minorHAnsi" w:cs="Arial"/>
                <w:sz w:val="20"/>
              </w:rPr>
              <w:t xml:space="preserve"/>
            </w:r>
            <w:r w:rsidR="006C4239" w:rsidRPr="006A1526">
              <w:rPr>
                <w:rFonts w:asciiTheme="minorHAnsi" w:hAnsiTheme="minorHAnsi" w:cs="Arial"/>
                <w:sz w:val="20"/>
              </w:rPr>
              <w:t xml:space="preserve"/>
            </w:r>
            <w:r w:rsidR="00437111" w:rsidRPr="006A1526">
              <w:rPr>
                <w:rFonts w:asciiTheme="minorHAnsi" w:hAnsiTheme="minorHAnsi" w:cs="Arial"/>
                <w:sz w:val="20"/>
              </w:rPr>
              <w:t xml:space="preserve"/>
            </w:r>
            <w:r w:rsidR="006C4239" w:rsidRPr="006A1526">
              <w:rPr>
                <w:rFonts w:asciiTheme="minorHAnsi" w:hAnsiTheme="minorHAnsi" w:cs="Arial"/>
                <w:sz w:val="20"/>
              </w:rPr>
              <w:t xml:space="preserve"/>
            </w:r>
            <w:r w:rsidR="00437111" w:rsidRPr="006A1526">
              <w:rPr>
                <w:rFonts w:asciiTheme="minorHAnsi" w:hAnsiTheme="minorHAnsi" w:cs="Arial"/>
                <w:sz w:val="20"/>
              </w:rPr>
              <w:t/>
            </w:r>
            <w:r w:rsidR="006C4239" w:rsidRPr="006A1526">
              <w:rPr>
                <w:rFonts w:asciiTheme="minorHAnsi" w:hAnsiTheme="minorHAnsi" w:cs="Arial"/>
                <w:sz w:val="20"/>
              </w:rPr>
              <w:t xml:space="preserve"/>
            </w:r>
            <w:r w:rsidR="00437111" w:rsidRPr="006A1526">
              <w:rPr>
                <w:rFonts w:asciiTheme="minorHAnsi" w:hAnsiTheme="minorHAnsi" w:cs="Arial"/>
                <w:sz w:val="20"/>
              </w:rPr>
              <w:t xml:space="preserve"/>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Mise à jour prévue dans un plan amendé.</w:t>
            </w:r>
            <w:r w:rsidR="008E7590" w:rsidRPr="006A1526">
              <w:rPr>
                <w:rFonts w:asciiTheme="minorHAnsi" w:hAnsiTheme="minorHAnsi" w:cs="Arial"/>
                <w:sz w:val="20"/>
              </w:rPr>
              <w:t/>
            </w:r>
            <w:r w:rsidR="002D1152" w:rsidRPr="006A1526">
              <w:rPr>
                <w:rFonts w:asciiTheme="minorHAnsi" w:hAnsiTheme="minorHAnsi" w:cs="Arial"/>
                <w:sz w:val="20"/>
              </w:rPr>
              <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a travaillé sur divers modèles de monétisation pour aider à la prise de décision et a retenu les services d'un conseiller financier pour assister dans l'IEP. CDEV a demandé l'autorisation d'établir une filiale pour gérer les prêts aux bénéficiaires du programme IEP.</w:t>
            </w:r>
            <w:r w:rsidR="00064530" w:rsidRPr="006A1526">
              <w:rPr>
                <w:rFonts w:asciiTheme="minorHAnsi" w:hAnsiTheme="minorHAnsi" w:cs="Arial"/>
                <w:sz w:val="20"/>
              </w:rPr>
              <w:t/>
            </w:r>
            <w:r w:rsidR="00F47497" w:rsidRPr="006A1526">
              <w:rPr>
                <w:rFonts w:asciiTheme="minorHAnsi" w:hAnsiTheme="minorHAnsi" w:cs="Arial"/>
                <w:sz w:val="20"/>
              </w:rPr>
              <w:t xml:space="preserve"/>
            </w:r>
            <w:r w:rsidR="00F22A36" w:rsidRPr="006A1526">
              <w:rPr>
                <w:rFonts w:asciiTheme="minorHAnsi" w:hAnsiTheme="minorHAnsi" w:cs="Arial"/>
                <w:sz w:val="20"/>
              </w:rPr>
              <w:t xml:space="preserve"/>
            </w:r>
            <w:r w:rsidR="00A25321" w:rsidRPr="006A1526">
              <w:rPr>
                <w:rFonts w:asciiTheme="minorHAnsi" w:hAnsiTheme="minorHAnsi" w:cs="Arial"/>
                <w:sz w:val="20"/>
              </w:rPr>
              <w:t xml:space="preserve"/>
            </w:r>
            <w:r w:rsidR="007A1458" w:rsidRPr="006A1526">
              <w:rPr>
                <w:rFonts w:asciiTheme="minorHAnsi" w:hAnsiTheme="minorHAnsi" w:cs="Arial"/>
                <w:sz w:val="20"/>
              </w:rPr>
              <w:t xml:space="preserve"/>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de TMC est refinancée.</w:t>
            </w:r>
            <w:r w:rsidR="00EF41C3" w:rsidRPr="006A1526">
              <w:rPr>
                <w:rFonts w:asciiTheme="minorHAnsi" w:hAnsiTheme="minorHAnsi" w:cs="Arial"/>
                <w:sz w:val="20"/>
              </w:rPr>
              <w:t/>
            </w:r>
            <w:r w:rsidR="00632BA8" w:rsidRPr="006A1526">
              <w:rPr>
                <w:rFonts w:asciiTheme="minorHAnsi" w:hAnsiTheme="minorHAnsi" w:cs="Arial"/>
                <w:sz w:val="20"/>
              </w:rPr>
              <w:t xml:space="preserve"/>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L'option de refinancement de la dette décrite dans le plan d'entreprise 2025-2029 est mise en œuvre.</w:t>
            </w:r>
            <w:r w:rsidR="00C32954" w:rsidRPr="006A1526">
              <w:rPr>
                <w:rFonts w:asciiTheme="minorHAnsi" w:hAnsiTheme="minorHAnsi" w:cs="Arial"/>
                <w:bCs/>
                <w:sz w:val="20"/>
                <w:szCs w:val="20"/>
              </w:rPr>
              <w:t xml:space="preserve"/>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de TMC en 2024.</w:t>
            </w:r>
            <w:r w:rsidR="0012474A" w:rsidRPr="006A1526">
              <w:rPr>
                <w:rFonts w:asciiTheme="minorHAnsi" w:hAnsiTheme="minorHAnsi" w:cs="Arial"/>
                <w:bCs/>
                <w:sz w:val="20"/>
                <w:szCs w:val="20"/>
              </w:rPr>
              <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a développé des options de refinancement de dette.</w:t>
            </w:r>
            <w:r w:rsidR="0012474A" w:rsidRPr="006A1526">
              <w:rPr>
                <w:rFonts w:asciiTheme="minorHAnsi" w:hAnsiTheme="minorHAnsi" w:cs="Arial"/>
                <w:sz w:val="20"/>
              </w:rPr>
              <w:t/>
            </w:r>
            <w:r w:rsidR="00F958F3" w:rsidRPr="006A1526">
              <w:rPr>
                <w:rFonts w:asciiTheme="minorHAnsi" w:hAnsiTheme="minorHAnsi" w:cs="Arial"/>
                <w:sz w:val="20"/>
              </w:rPr>
              <w:t xml:space="preserve"/>
            </w:r>
            <w:r w:rsidR="0012474A" w:rsidRPr="006A1526">
              <w:rPr>
                <w:rFonts w:asciiTheme="minorHAnsi" w:hAnsiTheme="minorHAnsi" w:cs="Arial"/>
                <w:sz w:val="20"/>
              </w:rPr>
              <w:t xml:space="preserve"/>
            </w:r>
            <w:r w:rsidR="00F958F3" w:rsidRPr="006A1526">
              <w:rPr>
                <w:rFonts w:asciiTheme="minorHAnsi" w:hAnsiTheme="minorHAnsi" w:cs="Arial"/>
                <w:sz w:val="20"/>
              </w:rPr>
              <w:t/>
            </w:r>
            <w:r w:rsidR="0012474A" w:rsidRPr="006A1526">
              <w:rPr>
                <w:rFonts w:asciiTheme="minorHAnsi" w:hAnsiTheme="minorHAnsi" w:cs="Arial"/>
                <w:sz w:val="20"/>
              </w:rPr>
              <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La direction de CDEV doit participer aux discussions concernant les décisions stratégiques de TMC.</w:t>
            </w:r>
            <w:r w:rsidR="00EE5FA4" w:rsidRPr="006A1526">
              <w:rPr>
                <w:rFonts w:asciiTheme="minorHAnsi" w:hAnsiTheme="minorHAnsi" w:cs="Arial"/>
                <w:sz w:val="20"/>
                <w:szCs w:val="20"/>
              </w:rPr>
              <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de membres pertinents de CDEV à toutes les réunions du conseil et des comités de TMC, maintien d'une relation de travail étroite entre les cadres de TMC et de CDEV. Gestion des conseillers.</w:t>
            </w:r>
            <w:r w:rsidR="005126D9" w:rsidRPr="006A1526">
              <w:rPr>
                <w:rFonts w:asciiTheme="minorHAnsi" w:hAnsiTheme="minorHAnsi" w:cs="Arial"/>
                <w:sz w:val="20"/>
                <w:szCs w:val="20"/>
              </w:rPr>
              <w:t/>
            </w:r>
            <w:r w:rsidRPr="006A1526">
              <w:rPr>
                <w:rFonts w:asciiTheme="minorHAnsi" w:hAnsiTheme="minorHAnsi" w:cs="Arial"/>
                <w:sz w:val="20"/>
                <w:szCs w:val="20"/>
              </w:rPr>
              <w:t/>
            </w:r>
            <w:r w:rsidR="005126D9" w:rsidRPr="006A1526">
              <w:rPr>
                <w:rFonts w:asciiTheme="minorHAnsi" w:hAnsiTheme="minorHAnsi" w:cs="Arial"/>
                <w:sz w:val="20"/>
                <w:szCs w:val="20"/>
              </w:rPr>
              <w:t/>
            </w:r>
            <w:r w:rsidRPr="006A1526">
              <w:rPr>
                <w:rFonts w:asciiTheme="minorHAnsi" w:hAnsiTheme="minorHAnsi" w:cs="Arial"/>
                <w:sz w:val="20"/>
                <w:szCs w:val="20"/>
              </w:rPr>
              <w:t xml:space="preserve"/>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Participation à toutes les réunions du conseil d'administration et discussions mensuelles, au minimum, avec la direction de TMC.</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Participation à 100 % du président et du directeur général de CDEV. CDEV présent lors des réunions de la direction et des comités de pilotage, engagé avec les conseillers en assurance pour effectuer des analyses sur les coûts et le calendrier.</w:t>
            </w:r>
            <w:r w:rsidR="008D3752" w:rsidRPr="006A1526">
              <w:rPr>
                <w:rFonts w:asciiTheme="minorHAnsi" w:hAnsiTheme="minorHAnsi" w:cs="Arial"/>
                <w:sz w:val="20"/>
                <w:szCs w:val="20"/>
              </w:rPr>
              <w:t/>
            </w:r>
            <w:r w:rsidR="00555940" w:rsidRPr="006A1526">
              <w:rPr>
                <w:rFonts w:asciiTheme="minorHAnsi" w:hAnsiTheme="minorHAnsi" w:cs="Arial"/>
                <w:sz w:val="20"/>
                <w:szCs w:val="20"/>
              </w:rPr>
              <w:t xml:space="preserve"/>
            </w:r>
            <w:r w:rsidR="00F96C0D" w:rsidRPr="006A1526">
              <w:rPr>
                <w:rFonts w:asciiTheme="minorHAnsi" w:hAnsiTheme="minorHAnsi" w:cs="Arial"/>
                <w:sz w:val="20"/>
                <w:szCs w:val="20"/>
              </w:rPr>
              <w:t xml:space="preserve"/>
            </w:r>
            <w:r w:rsidR="00970677" w:rsidRPr="006A1526">
              <w:rPr>
                <w:rFonts w:asciiTheme="minorHAnsi" w:hAnsiTheme="minorHAnsi" w:cs="Arial"/>
                <w:sz w:val="20"/>
                <w:szCs w:val="20"/>
              </w:rPr>
              <w:t xml:space="preserve"/>
            </w:r>
            <w:r w:rsidR="008D3752" w:rsidRPr="006A1526">
              <w:rPr>
                <w:rFonts w:asciiTheme="minorHAnsi" w:hAnsiTheme="minorHAnsi" w:cs="Arial"/>
                <w:sz w:val="20"/>
                <w:szCs w:val="20"/>
              </w:rPr>
              <w:t xml:space="preserve"/>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Lancement de l'ILGP.</w:t>
            </w:r>
            <w:r w:rsidR="002803E5" w:rsidRPr="00462C5F">
              <w:rPr>
                <w:rFonts w:asciiTheme="minorHAnsi" w:hAnsiTheme="minorHAnsi"/>
                <w:sz w:val="20"/>
              </w:rPr>
              <w:t xml:space="preserve"/>
            </w:r>
            <w:r w:rsidRPr="00462C5F">
              <w:rPr>
                <w:rFonts w:asciiTheme="minorHAnsi" w:hAnsiTheme="minorHAnsi"/>
                <w:sz w:val="20"/>
              </w:rPr>
              <w:t/>
            </w:r>
            <w:r w:rsidR="00EE5FA4" w:rsidRPr="00462C5F">
              <w:rPr>
                <w:rFonts w:asciiTheme="minorHAnsi" w:hAnsiTheme="minorHAnsi"/>
                <w:sz w:val="20"/>
              </w:rPr>
              <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fonctionne en conséquence.</w:t>
            </w:r>
            <w:r w:rsidR="003E3295" w:rsidRPr="00462C5F">
              <w:rPr>
                <w:rFonts w:asciiTheme="minorHAnsi" w:hAnsiTheme="minorHAnsi"/>
                <w:sz w:val="20"/>
              </w:rPr>
              <w:t xml:space="preserve"/>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Lancement du programme. La première garantie de prêt destinée aux Autochtones est annoncée avant la fin de 2024.</w:t>
            </w:r>
            <w:r w:rsidR="00000AE0" w:rsidRPr="00462C5F">
              <w:rPr>
                <w:rFonts w:asciiTheme="minorHAnsi" w:hAnsiTheme="minorHAnsi"/>
                <w:sz w:val="20"/>
              </w:rPr>
              <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constituée pour gérer la garantie de prêt et dotée en personnel de manière appropriée. Le directeur général est embauché et le conseil d'administration de l'ILGP est nommé. Les premières propositions sont étudiées pour diligence raisonnable.</w:t>
            </w:r>
            <w:r w:rsidR="00841641" w:rsidRPr="00462C5F">
              <w:rPr>
                <w:rFonts w:asciiTheme="minorHAnsi" w:hAnsiTheme="minorHAnsi"/>
                <w:sz w:val="20"/>
              </w:rPr>
              <w:t xml:space="preserve"/>
            </w:r>
            <w:r w:rsidRPr="00462C5F">
              <w:rPr>
                <w:rFonts w:asciiTheme="minorHAnsi" w:hAnsiTheme="minorHAnsi"/>
                <w:sz w:val="20"/>
              </w:rPr>
              <w:t/>
            </w:r>
            <w:r w:rsidR="00F436FB" w:rsidRPr="00462C5F">
              <w:rPr>
                <w:rFonts w:asciiTheme="minorHAnsi" w:hAnsiTheme="minorHAnsi"/>
                <w:sz w:val="20"/>
              </w:rPr>
              <w:t xml:space="preserve"/>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Prêt à Telesat LEO géré efficacement par la nouvelle filiale de CDEV.</w:t>
            </w:r>
            <w:r w:rsidR="0065150F" w:rsidRPr="006A1526">
              <w:rPr>
                <w:rFonts w:asciiTheme="minorHAnsi" w:hAnsiTheme="minorHAnsi" w:cs="Arial"/>
                <w:sz w:val="20"/>
                <w:szCs w:val="20"/>
              </w:rPr>
              <w:t xml:space="preserve"/>
            </w:r>
            <w:r w:rsidRPr="006A1526">
              <w:rPr>
                <w:rFonts w:asciiTheme="minorHAnsi" w:hAnsiTheme="minorHAnsi" w:cs="Arial"/>
                <w:sz w:val="20"/>
                <w:szCs w:val="20"/>
              </w:rPr>
              <w:t xml:space="preserve"/>
            </w:r>
            <w:r w:rsidR="00006A8F" w:rsidRPr="006A1526">
              <w:rPr>
                <w:rFonts w:asciiTheme="minorHAnsi" w:hAnsiTheme="minorHAnsi" w:cs="Arial"/>
                <w:sz w:val="20"/>
                <w:szCs w:val="20"/>
              </w:rPr>
              <w:t xml:space="preserve"/>
            </w:r>
            <w:r w:rsidR="0065150F" w:rsidRPr="006A1526">
              <w:rPr>
                <w:rFonts w:asciiTheme="minorHAnsi" w:hAnsiTheme="minorHAnsi" w:cs="Arial"/>
                <w:sz w:val="20"/>
                <w:szCs w:val="20"/>
              </w:rPr>
              <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de manière à permettre à Telesat de finaliser et d'exploiter le projet Telesat Lightspeed.</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d'autorité nécessaires sont approuvées. Les fonds sont transférés du Compte Canada d'EDC à la filiale de CDEV, puis au bénéficiaire Telesat LEO.</w:t>
            </w:r>
            <w:r w:rsidR="0065150F" w:rsidRPr="006A1526">
              <w:rPr>
                <w:rFonts w:asciiTheme="minorHAnsi" w:hAnsiTheme="minorHAnsi" w:cs="Arial"/>
                <w:sz w:val="20"/>
              </w:rPr>
              <w:t/>
            </w:r>
            <w:r w:rsidR="001C5266" w:rsidRPr="006A1526">
              <w:rPr>
                <w:rFonts w:asciiTheme="minorHAnsi" w:hAnsiTheme="minorHAnsi" w:cs="Arial"/>
                <w:sz w:val="20"/>
              </w:rPr>
              <w:t xml:space="preserve"/>
            </w:r>
            <w:r w:rsidR="0065150F" w:rsidRPr="006A1526">
              <w:rPr>
                <w:rFonts w:asciiTheme="minorHAnsi" w:hAnsiTheme="minorHAnsi" w:cs="Arial"/>
                <w:sz w:val="20"/>
              </w:rPr>
              <w:t/>
            </w:r>
            <w:r w:rsidR="001C5266" w:rsidRPr="006A1526">
              <w:rPr>
                <w:rFonts w:asciiTheme="minorHAnsi" w:hAnsiTheme="minorHAnsi" w:cs="Arial"/>
                <w:sz w:val="20"/>
              </w:rPr>
              <w:t xml:space="preserve"/>
            </w:r>
            <w:r w:rsidR="007F6C86" w:rsidRPr="006A1526">
              <w:rPr>
                <w:rFonts w:asciiTheme="minorHAnsi" w:hAnsiTheme="minorHAnsi" w:cs="Arial"/>
                <w:sz w:val="20"/>
              </w:rPr>
              <w:t/>
            </w:r>
            <w:r w:rsidR="0065150F" w:rsidRPr="006A1526">
              <w:rPr>
                <w:rFonts w:asciiTheme="minorHAnsi" w:hAnsiTheme="minorHAnsi" w:cs="Arial"/>
                <w:sz w:val="20"/>
              </w:rPr>
              <w:t xml:space="preserve"/>
            </w:r>
            <w:r w:rsidR="007F6C86" w:rsidRPr="006A1526">
              <w:rPr>
                <w:rFonts w:asciiTheme="minorHAnsi" w:hAnsiTheme="minorHAnsi" w:cs="Arial"/>
                <w:sz w:val="20"/>
              </w:rPr>
              <w:t xml:space="preserve"/>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constituée en septembre 2024.</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Supervision du CGF afin de garantir qu'il réalise des investissements conformément à son mandat.</w:t>
            </w:r>
            <w:r w:rsidR="008D3752" w:rsidRPr="006A1526">
              <w:rPr>
                <w:rFonts w:asciiTheme="minorHAnsi" w:hAnsiTheme="minorHAnsi" w:cs="Arial"/>
                <w:sz w:val="20"/>
                <w:szCs w:val="20"/>
              </w:rPr>
              <w:t/>
            </w:r>
            <w:r w:rsidRPr="006A1526">
              <w:rPr>
                <w:rFonts w:asciiTheme="minorHAnsi" w:hAnsiTheme="minorHAnsi" w:cs="Arial"/>
                <w:sz w:val="20"/>
                <w:szCs w:val="20"/>
              </w:rPr>
              <w:t xml:space="preserve"/>
            </w:r>
            <w:r w:rsidR="00081167" w:rsidRPr="006A1526">
              <w:rPr>
                <w:rFonts w:asciiTheme="minorHAnsi" w:hAnsiTheme="minorHAnsi" w:cs="Arial"/>
                <w:sz w:val="20"/>
                <w:szCs w:val="20"/>
              </w:rPr>
              <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Veiller à ce que le CGF et son gestionnaire d'investissements, CGFIM, agissent conformément à l'Accord de gestion des investissements et à la Déclaration des principes d'investissement. Nomination de membres supplémentaires au conseil d'administration du CGF pour renforcer la supervision.</w:t>
            </w:r>
            <w:r w:rsidRPr="006A1526" w:rsidDel="00172278">
              <w:rPr>
                <w:rFonts w:asciiTheme="minorHAnsi" w:hAnsiTheme="minorHAnsi" w:cs="Arial"/>
                <w:sz w:val="20"/>
                <w:szCs w:val="20"/>
              </w:rPr>
              <w:t xml:space="preserve"/>
            </w:r>
            <w:r w:rsidRPr="006A1526">
              <w:rPr>
                <w:rFonts w:asciiTheme="minorHAnsi" w:hAnsiTheme="minorHAnsi" w:cs="Arial"/>
                <w:sz w:val="20"/>
                <w:szCs w:val="20"/>
              </w:rPr>
              <w:t/>
            </w:r>
            <w:r w:rsidR="008851CB" w:rsidRPr="006A1526">
              <w:rPr>
                <w:rFonts w:asciiTheme="minorHAnsi" w:hAnsiTheme="minorHAnsi" w:cs="Arial"/>
                <w:sz w:val="20"/>
                <w:szCs w:val="20"/>
              </w:rPr>
              <w:t/>
            </w:r>
            <w:r w:rsidR="00711116" w:rsidRPr="006A1526">
              <w:rPr>
                <w:rFonts w:asciiTheme="minorHAnsi" w:hAnsiTheme="minorHAnsi" w:cs="Arial"/>
                <w:sz w:val="20"/>
                <w:szCs w:val="20"/>
              </w:rPr>
              <w:t xml:space="preserve"/>
            </w:r>
            <w:r w:rsidRPr="006A1526">
              <w:rPr>
                <w:rFonts w:asciiTheme="minorHAnsi" w:hAnsiTheme="minorHAnsi" w:cs="Arial"/>
                <w:sz w:val="20"/>
                <w:szCs w:val="20"/>
              </w:rPr>
              <w:t xml:space="preserve"/>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À surveiller. Nominations supplémentaires au conseil d'administration du CGF.</w:t>
            </w:r>
            <w:r w:rsidR="000E06D1" w:rsidRPr="006A1526">
              <w:rPr>
                <w:rFonts w:asciiTheme="minorHAnsi" w:hAnsiTheme="minorHAnsi" w:cs="Arial"/>
                <w:sz w:val="20"/>
              </w:rPr>
              <w:t xml:space="preserve"/>
            </w:r>
            <w:r w:rsidR="00075F44" w:rsidRPr="006A1526">
              <w:rPr>
                <w:rFonts w:asciiTheme="minorHAnsi" w:hAnsiTheme="minorHAnsi" w:cs="Arial"/>
                <w:sz w:val="20"/>
              </w:rPr>
              <w:t/>
            </w:r>
            <w:r w:rsidRPr="006A1526">
              <w:rPr>
                <w:rFonts w:asciiTheme="minorHAnsi" w:hAnsiTheme="minorHAnsi" w:cs="Arial"/>
                <w:sz w:val="20"/>
              </w:rPr>
              <w:t xml:space="preserve"/>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Le CGF a annoncé à ce jour huit investissements.</w:t>
            </w:r>
            <w:r w:rsidR="00AE4248" w:rsidRPr="006A1526">
              <w:rPr>
                <w:rFonts w:asciiTheme="minorHAnsi" w:hAnsiTheme="minorHAnsi" w:cs="Arial"/>
                <w:sz w:val="20"/>
              </w:rPr>
              <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Les propriétés de Beaverlodge ont été transférées à IC.</w:t>
            </w:r>
            <w:r w:rsidR="00081167" w:rsidRPr="006A1526">
              <w:rPr>
                <w:rFonts w:asciiTheme="minorHAnsi" w:hAnsiTheme="minorHAnsi" w:cs="Arial"/>
                <w:sz w:val="20"/>
                <w:szCs w:val="20"/>
              </w:rPr>
              <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Préparation pour le prochain cycle de transferts de propriétés prévu probablement en 2025.</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 seront transférées d'ici 2025.</w:t>
            </w:r>
            <w:r w:rsidR="00E75233" w:rsidRPr="006A1526">
              <w:rPr>
                <w:rFonts w:asciiTheme="minorHAnsi" w:hAnsiTheme="minorHAnsi" w:cs="Arial"/>
                <w:sz w:val="20"/>
              </w:rPr>
              <w:t xml:space="preserve"/>
            </w:r>
            <w:r w:rsidRPr="006A1526">
              <w:rPr>
                <w:rFonts w:asciiTheme="minorHAnsi" w:hAnsiTheme="minorHAnsi" w:cs="Arial"/>
                <w:sz w:val="20"/>
              </w:rPr>
              <w:t/>
            </w:r>
            <w:r w:rsidR="00E75233" w:rsidRPr="006A1526">
              <w:rPr>
                <w:rFonts w:asciiTheme="minorHAnsi" w:hAnsiTheme="minorHAnsi" w:cs="Arial"/>
                <w:sz w:val="20"/>
              </w:rPr>
              <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Les coûts de restauration des sites seront réglés en 2024.</w:t>
            </w:r>
            <w:r w:rsidR="00FC34E2" w:rsidRPr="006A1526">
              <w:rPr>
                <w:rFonts w:asciiTheme="minorHAnsi" w:hAnsiTheme="minorHAnsi"/>
                <w:sz w:val="20"/>
                <w:szCs w:val="20"/>
              </w:rPr>
              <w:t/>
            </w:r>
            <w:r w:rsidRPr="006A1526">
              <w:rPr>
                <w:rFonts w:asciiTheme="minorHAnsi" w:hAnsiTheme="minorHAnsi"/>
                <w:sz w:val="20"/>
                <w:szCs w:val="20"/>
              </w:rPr>
              <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Veiller à ce que CIC soit prêt à reprendre ses opérations.</w:t>
            </w:r>
            <w:r w:rsidR="008D3752" w:rsidRPr="006A1526">
              <w:rPr>
                <w:rFonts w:asciiTheme="minorHAnsi" w:hAnsiTheme="minorHAnsi" w:cs="Arial"/>
                <w:sz w:val="20"/>
                <w:szCs w:val="20"/>
                <w:lang w:val="en-US"/>
              </w:rPr>
              <w:t/>
            </w:r>
            <w:r w:rsidRPr="006A1526">
              <w:rPr>
                <w:rFonts w:asciiTheme="minorHAnsi" w:hAnsiTheme="minorHAnsi" w:cs="Arial"/>
                <w:sz w:val="20"/>
                <w:szCs w:val="20"/>
                <w:lang w:val="en-US"/>
              </w:rPr>
              <w:t xml:space="preserve"/>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Intégration de la Technologie Canada pour le Développement Durable (SDTC) avec le CIC, et relance des opérations du CIC.</w:t>
            </w:r>
            <w:r w:rsidR="00EF38A4" w:rsidRPr="006A1526">
              <w:rPr>
                <w:rFonts w:asciiTheme="minorHAnsi" w:hAnsiTheme="minorHAnsi" w:cs="Arial"/>
                <w:sz w:val="20"/>
                <w:szCs w:val="20"/>
              </w:rPr>
              <w:t xml:space="preserve"/>
            </w:r>
            <w:r w:rsidR="00EF38A4" w:rsidRPr="006A1526">
              <w:rPr>
                <w:rFonts w:asciiTheme="minorHAnsi" w:hAnsiTheme="minorHAnsi"/>
                <w:sz w:val="20"/>
                <w:szCs w:val="20"/>
              </w:rPr>
              <w:t/>
            </w:r>
            <w:r w:rsidRPr="006A1526">
              <w:rPr>
                <w:rFonts w:asciiTheme="minorHAnsi" w:hAnsiTheme="minorHAnsi" w:cs="Arial"/>
                <w:sz w:val="20"/>
                <w:szCs w:val="20"/>
              </w:rPr>
              <w:t/>
            </w:r>
            <w:r w:rsidR="00EF38A4" w:rsidRPr="006A1526">
              <w:rPr>
                <w:rFonts w:asciiTheme="minorHAnsi" w:hAnsiTheme="minorHAnsi" w:cs="Arial"/>
                <w:sz w:val="20"/>
                <w:szCs w:val="20"/>
              </w:rPr>
              <w:t/>
            </w:r>
            <w:r w:rsidRPr="006A1526">
              <w:rPr>
                <w:rFonts w:asciiTheme="minorHAnsi" w:hAnsiTheme="minorHAnsi" w:cs="Arial"/>
                <w:sz w:val="20"/>
                <w:szCs w:val="20"/>
              </w:rPr>
              <w:t xml:space="preserve"/>
            </w:r>
            <w:r w:rsidRPr="006A1526">
              <w:rPr>
                <w:rFonts w:asciiTheme="minorHAnsi" w:hAnsiTheme="minorHAnsi" w:cs="Arial"/>
                <w:sz w:val="20"/>
                <w:szCs w:val="20"/>
              </w:rPr>
              <w:lastRenderedPageBreak/>
              <w:t/>
            </w:r>
            <w:r w:rsidR="00ED1674" w:rsidRPr="006A1526">
              <w:rPr>
                <w:rFonts w:asciiTheme="minorHAnsi" w:hAnsiTheme="minorHAnsi" w:cs="Arial"/>
                <w:sz w:val="20"/>
                <w:szCs w:val="20"/>
              </w:rPr>
              <w:t/>
            </w:r>
            <w:r w:rsidRPr="006A1526">
              <w:rPr>
                <w:rFonts w:asciiTheme="minorHAnsi" w:hAnsiTheme="minorHAnsi" w:cs="Arial"/>
                <w:sz w:val="20"/>
                <w:szCs w:val="20"/>
              </w:rPr>
              <w:t xml:space="preserve"/>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surveiller.</w:t>
            </w:r>
            <w:r w:rsidR="008D3752" w:rsidRPr="006A1526">
              <w:rPr>
                <w:rFonts w:asciiTheme="minorHAnsi" w:hAnsiTheme="minorHAnsi" w:cs="Arial"/>
                <w:sz w:val="20"/>
                <w:szCs w:val="20"/>
              </w:rPr>
              <w:t xml:space="preserve"/>
            </w:r>
            <w:r w:rsidRPr="006A1526">
              <w:rPr>
                <w:rFonts w:asciiTheme="minorHAnsi" w:hAnsiTheme="minorHAnsi" w:cs="Arial"/>
                <w:sz w:val="20"/>
                <w:szCs w:val="20"/>
              </w:rPr>
              <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CIC a été incorporé en février 2023. En décembre 2023, le Gouvernement du Canada a annoncé que la mise en œuvre complète de cette nouvelle entité est prévue au plus tard pour 2026–2027. Par conséquent, les activités du CIC ont été mises en pause. En juin 2024, le ministre d’ISED a annoncé que le SDTC serait intégré au CIC, une fois que le Conseil National de Recherche aura achevé son travail pour renforcer la gouvernance et les opérations du SDTC.</w:t>
            </w:r>
            <w:r w:rsidR="008D3752" w:rsidRPr="006A1526">
              <w:rPr>
                <w:rFonts w:asciiTheme="minorHAnsi" w:hAnsiTheme="minorHAnsi" w:cs="Arial"/>
                <w:sz w:val="20"/>
                <w:szCs w:val="20"/>
              </w:rPr>
              <w:t/>
            </w:r>
            <w:r w:rsidRPr="006A1526">
              <w:rPr>
                <w:rFonts w:asciiTheme="minorHAnsi" w:hAnsiTheme="minorHAnsi" w:cs="Arial"/>
                <w:sz w:val="20"/>
                <w:szCs w:val="20"/>
              </w:rPr>
              <w:t xml:space="preserve"/>
            </w:r>
            <w:r w:rsidR="007260A0" w:rsidRPr="006A1526">
              <w:rPr>
                <w:rFonts w:asciiTheme="minorHAnsi" w:hAnsiTheme="minorHAnsi"/>
                <w:sz w:val="20"/>
                <w:szCs w:val="20"/>
              </w:rPr>
              <w:t xml:space="preserve"/>
            </w:r>
            <w:r w:rsidR="007260A0" w:rsidRPr="006A1526">
              <w:rPr>
                <w:rFonts w:asciiTheme="minorHAnsi" w:hAnsiTheme="minorHAnsi"/>
                <w:sz w:val="20"/>
                <w:szCs w:val="20"/>
              </w:rPr>
              <w:lastRenderedPageBreak/>
              <w:t/>
            </w:r>
            <w:r w:rsidR="00AB6DE1" w:rsidRPr="006A1526">
              <w:rPr>
                <w:rFonts w:asciiTheme="minorHAnsi" w:hAnsiTheme="minorHAnsi"/>
                <w:sz w:val="20"/>
                <w:szCs w:val="20"/>
              </w:rPr>
              <w:t/>
            </w:r>
            <w:r w:rsidR="007260A0" w:rsidRPr="006A1526">
              <w:rPr>
                <w:rFonts w:asciiTheme="minorHAnsi" w:hAnsiTheme="minorHAnsi"/>
                <w:sz w:val="20"/>
                <w:szCs w:val="20"/>
              </w:rPr>
              <w:t xml:space="preserve"/>
            </w:r>
            <w:r w:rsidR="00EF38A4" w:rsidRPr="006A1526">
              <w:rPr>
                <w:rFonts w:asciiTheme="minorHAnsi" w:hAnsiTheme="minorHAnsi"/>
                <w:sz w:val="20"/>
                <w:szCs w:val="20"/>
              </w:rPr>
              <w:t xml:space="preserve"/>
            </w:r>
            <w:r w:rsidR="007260A0" w:rsidRPr="006A1526">
              <w:rPr>
                <w:rFonts w:asciiTheme="minorHAnsi" w:hAnsiTheme="minorHAnsi"/>
                <w:sz w:val="20"/>
                <w:szCs w:val="20"/>
              </w:rPr>
              <w:t xml:space="preserve"/>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et rôle de conseil financier.</w:t>
            </w:r>
            <w:r w:rsidR="00CC630F" w:rsidRPr="00462C5F">
              <w:rPr>
                <w:rFonts w:asciiTheme="minorHAnsi" w:hAnsiTheme="minorHAnsi"/>
                <w:sz w:val="20"/>
              </w:rPr>
              <w:t/>
            </w:r>
            <w:r w:rsidR="00EE5FA4" w:rsidRPr="00462C5F">
              <w:rPr>
                <w:rFonts w:asciiTheme="minorHAnsi" w:hAnsiTheme="minorHAnsi"/>
                <w:sz w:val="20"/>
              </w:rPr>
              <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Apporter des perspectives de conseil précieuses et des analyses financières techniques en tant qu’expert reconnu en conseil financier auprès du gouvernement.</w:t>
            </w:r>
            <w:r w:rsidR="008E22F7" w:rsidRPr="00462C5F">
              <w:rPr>
                <w:rFonts w:asciiTheme="minorHAnsi" w:hAnsiTheme="minorHAnsi"/>
                <w:sz w:val="20"/>
              </w:rPr>
              <w:t xml:space="preserve"/>
            </w:r>
            <w:r w:rsidR="001265DC" w:rsidRPr="00462C5F">
              <w:rPr>
                <w:rFonts w:asciiTheme="minorHAnsi" w:hAnsiTheme="minorHAnsi"/>
                <w:sz w:val="20"/>
              </w:rPr>
              <w:t/>
            </w:r>
            <w:r w:rsidR="008E22F7" w:rsidRPr="00462C5F">
              <w:rPr>
                <w:rFonts w:asciiTheme="minorHAnsi" w:hAnsiTheme="minorHAnsi"/>
                <w:sz w:val="20"/>
              </w:rPr>
              <w:t/>
            </w:r>
            <w:r w:rsidR="00254F88" w:rsidRPr="00462C5F">
              <w:rPr>
                <w:rFonts w:asciiTheme="minorHAnsi" w:hAnsiTheme="minorHAnsi"/>
                <w:sz w:val="20"/>
              </w:rPr>
              <w:t xml:space="preserve"/>
            </w:r>
            <w:r w:rsidR="00393AB2" w:rsidRPr="00462C5F">
              <w:rPr>
                <w:rFonts w:asciiTheme="minorHAnsi" w:hAnsiTheme="minorHAnsi"/>
                <w:sz w:val="20"/>
              </w:rPr>
              <w:t/>
            </w:r>
            <w:r w:rsidR="00254F88" w:rsidRPr="00462C5F">
              <w:rPr>
                <w:rFonts w:asciiTheme="minorHAnsi" w:hAnsiTheme="minorHAnsi"/>
                <w:sz w:val="20"/>
              </w:rPr>
              <w:t xml:space="preserve"/>
            </w:r>
            <w:r w:rsidR="00F6144B" w:rsidRPr="00462C5F">
              <w:rPr>
                <w:rFonts w:asciiTheme="minorHAnsi" w:hAnsiTheme="minorHAnsi"/>
                <w:sz w:val="20"/>
              </w:rPr>
              <w:t xml:space="preserve"/>
            </w:r>
            <w:r w:rsidR="0054240E" w:rsidRPr="00462C5F">
              <w:rPr>
                <w:rFonts w:asciiTheme="minorHAnsi" w:hAnsiTheme="minorHAnsi"/>
                <w:sz w:val="20"/>
              </w:rPr>
              <w:t xml:space="preserve"/>
            </w:r>
            <w:r w:rsidR="008A1EFB" w:rsidRPr="00462C5F">
              <w:rPr>
                <w:rFonts w:asciiTheme="minorHAnsi" w:hAnsiTheme="minorHAnsi"/>
                <w:sz w:val="20"/>
              </w:rPr>
              <w:t/>
            </w:r>
            <w:r w:rsidR="00393AB2" w:rsidRPr="00462C5F">
              <w:rPr>
                <w:rFonts w:asciiTheme="minorHAnsi" w:hAnsiTheme="minorHAnsi"/>
                <w:sz w:val="20"/>
              </w:rPr>
              <w:t xml:space="preserve"/>
            </w:r>
            <w:r w:rsidR="0052001D" w:rsidRPr="00462C5F">
              <w:rPr>
                <w:rFonts w:asciiTheme="minorHAnsi" w:hAnsiTheme="minorHAnsi"/>
                <w:sz w:val="20"/>
              </w:rPr>
              <w:t/>
            </w:r>
            <w:r w:rsidR="00293A6A" w:rsidRPr="00462C5F">
              <w:rPr>
                <w:rFonts w:asciiTheme="minorHAnsi" w:hAnsiTheme="minorHAnsi"/>
                <w:sz w:val="20"/>
              </w:rPr>
              <w:t/>
            </w:r>
            <w:r w:rsidR="0052001D" w:rsidRPr="00462C5F">
              <w:rPr>
                <w:rFonts w:asciiTheme="minorHAnsi" w:hAnsiTheme="minorHAnsi"/>
                <w:sz w:val="20"/>
              </w:rPr>
              <w:t xml:space="preserve"/>
            </w:r>
            <w:r w:rsidR="008A1EFB" w:rsidRPr="00462C5F">
              <w:rPr>
                <w:rFonts w:asciiTheme="minorHAnsi" w:hAnsiTheme="minorHAnsi"/>
                <w:sz w:val="20"/>
              </w:rPr>
              <w:t xml:space="preserve"/>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supplémentaires et assignations de projets.</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évaluée en fonction de l’impact de la CDEV et de la valeur ajoutée des transactions.</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(délai de 2 à 5 ans).</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gérera les besoins de financement de TMC via sa filiale Canada TMP Finance Ltd.</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négociera des accords de financement permettant à TMC de gérer les coûts de la dette et les contingences budgétaires.</w:t>
            </w:r>
            <w:r w:rsidR="002E36FA" w:rsidRPr="006A1526">
              <w:rPr>
                <w:rFonts w:asciiTheme="minorHAnsi" w:hAnsiTheme="minorHAnsi" w:cs="Arial"/>
                <w:sz w:val="20"/>
              </w:rPr>
              <w:t xml:space="preserve"/>
            </w:r>
            <w:r w:rsidR="007A2211" w:rsidRPr="006A1526">
              <w:rPr>
                <w:rFonts w:asciiTheme="minorHAnsi" w:hAnsiTheme="minorHAnsi" w:cs="Arial"/>
                <w:sz w:val="20"/>
              </w:rPr>
              <w:t/>
            </w:r>
            <w:r w:rsidRPr="006A1526">
              <w:rPr>
                <w:rFonts w:asciiTheme="minorHAnsi" w:hAnsiTheme="minorHAnsi" w:cs="Arial"/>
                <w:sz w:val="20"/>
              </w:rPr>
              <w:t xml:space="preserve"/>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À exécuter selon les directives du gouvernement.</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a identifié des options de refinancement de la dette.</w:t>
            </w:r>
            <w:r w:rsidR="00BE0B33" w:rsidRPr="006A1526">
              <w:rPr>
                <w:rFonts w:asciiTheme="minorHAnsi" w:hAnsiTheme="minorHAnsi" w:cs="Arial"/>
                <w:sz w:val="20"/>
              </w:rPr>
              <w:t/>
            </w:r>
            <w:r w:rsidRPr="006A1526">
              <w:rPr>
                <w:rFonts w:asciiTheme="minorHAnsi" w:hAnsiTheme="minorHAnsi" w:cs="Arial"/>
                <w:sz w:val="20"/>
              </w:rPr>
              <w:t xml:space="preserve"/>
            </w:r>
            <w:r w:rsidR="00BE0B33" w:rsidRPr="006A1526">
              <w:rPr>
                <w:rFonts w:asciiTheme="minorHAnsi" w:hAnsiTheme="minorHAnsi" w:cs="Arial"/>
                <w:sz w:val="20"/>
              </w:rPr>
              <w:t/>
            </w:r>
            <w:r w:rsidRPr="006A1526">
              <w:rPr>
                <w:rFonts w:asciiTheme="minorHAnsi" w:hAnsiTheme="minorHAnsi" w:cs="Arial"/>
                <w:sz w:val="20"/>
              </w:rPr>
              <w:t xml:space="preserve"/>
            </w:r>
            <w:r w:rsidR="00BE0B33" w:rsidRPr="006A1526">
              <w:rPr>
                <w:rFonts w:asciiTheme="minorHAnsi" w:hAnsiTheme="minorHAnsi" w:cs="Arial"/>
                <w:sz w:val="20"/>
              </w:rPr>
              <w:t/>
            </w:r>
            <w:r w:rsidR="0081493F" w:rsidRPr="006A1526">
              <w:rPr>
                <w:rFonts w:asciiTheme="minorHAnsi" w:hAnsiTheme="minorHAnsi" w:cs="Arial"/>
                <w:sz w:val="20"/>
              </w:rPr>
              <w:t/>
            </w:r>
            <w:r w:rsidRPr="006A1526">
              <w:rPr>
                <w:rFonts w:asciiTheme="minorHAnsi" w:hAnsiTheme="minorHAnsi" w:cs="Arial"/>
                <w:sz w:val="20"/>
              </w:rPr>
              <w:t xml:space="preserve"/>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Établir des relations constructives avec les peuples autochtones potentiellement impactés par le projet d’expansion du Trans Mountain.</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Travailler avec le gouvernement pour permettre la propriété autochtone ou une autre forme de participation dans TMC.</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devra se conformer aux demandes gouvernementales concernant la participation économique autochtone ; TMC devra respecter les Accords de Bénéfices Mutuels (MBAs) exécutés.</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a joué un rôle intégral dans le développement d’un cadre IEP, incluant l’embauche d’un conseiller financier et de conseillers juridiques pour analyser les structures potentielles et leur impact sur toute monétisation de TMC ainsi que ses implications fiscales. CDEV a également assisté aux premières activités d’engagement avec les groupes autochtones concernés.</w:t>
            </w:r>
            <w:r w:rsidR="00C97BDA" w:rsidRPr="006A1526">
              <w:rPr>
                <w:rFonts w:asciiTheme="minorHAnsi" w:hAnsiTheme="minorHAnsi" w:cs="Arial"/>
                <w:sz w:val="20"/>
              </w:rPr>
              <w:t/>
            </w:r>
            <w:r w:rsidR="006B4A4D" w:rsidRPr="006A1526">
              <w:rPr>
                <w:rFonts w:asciiTheme="minorHAnsi" w:hAnsiTheme="minorHAnsi" w:cs="Arial"/>
                <w:sz w:val="20"/>
              </w:rPr>
              <w:t xml:space="preserve"/>
            </w:r>
            <w:r w:rsidR="00706C66" w:rsidRPr="006A1526">
              <w:rPr>
                <w:rFonts w:asciiTheme="minorHAnsi" w:hAnsiTheme="minorHAnsi" w:cs="Arial"/>
                <w:sz w:val="20"/>
              </w:rPr>
              <w:t/>
            </w:r>
            <w:r w:rsidR="006B4A4D" w:rsidRPr="006A1526">
              <w:rPr>
                <w:rFonts w:asciiTheme="minorHAnsi" w:hAnsiTheme="minorHAnsi" w:cs="Arial"/>
                <w:sz w:val="20"/>
              </w:rPr>
              <w:t xml:space="preserve"/>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TMC est prêt pour une éventuelle cession ou d’autres formes de monétisation (motivées par des décisions politiques du Gouvernement du Canada).</w:t>
            </w:r>
            <w:r w:rsidR="008D3752" w:rsidRPr="006A1526">
              <w:rPr>
                <w:rFonts w:asciiTheme="minorHAnsi" w:hAnsiTheme="minorHAnsi" w:cs="Arial"/>
                <w:sz w:val="20"/>
                <w:szCs w:val="20"/>
              </w:rPr>
              <w:t xml:space="preserve"/>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continue de maintenir un excellent bilan en matière de sécurité, des relations efficaces et significatives avec les communautés autochtones, et est cédée selon des conditions commerciales optimales compte tenu des conditions du marché et des paramètres d'achèvement du projet.</w:t>
            </w:r>
            <w:r w:rsidR="008D3752" w:rsidRPr="006A1526">
              <w:rPr>
                <w:rFonts w:asciiTheme="minorHAnsi" w:hAnsiTheme="minorHAnsi" w:cs="Arial"/>
                <w:sz w:val="20"/>
                <w:szCs w:val="20"/>
              </w:rPr>
              <w:t/>
            </w:r>
            <w:r w:rsidR="00081DE3">
              <w:rPr>
                <w:rFonts w:asciiTheme="minorHAnsi" w:hAnsiTheme="minorHAnsi" w:cs="Arial"/>
                <w:sz w:val="20"/>
                <w:szCs w:val="20"/>
              </w:rPr>
              <w:t/>
            </w:r>
            <w:r w:rsidR="008D3752" w:rsidRPr="006A1526">
              <w:rPr>
                <w:rFonts w:asciiTheme="minorHAnsi" w:hAnsiTheme="minorHAnsi" w:cs="Arial"/>
                <w:sz w:val="20"/>
                <w:szCs w:val="20"/>
              </w:rPr>
              <w:t xml:space="preserve"/>
            </w:r>
            <w:r w:rsidR="008D3752" w:rsidRPr="006A1526">
              <w:rPr>
                <w:rFonts w:asciiTheme="minorHAnsi" w:hAnsiTheme="minorHAnsi" w:cs="Arial"/>
                <w:sz w:val="20"/>
                <w:szCs w:val="20"/>
              </w:rPr>
              <w:lastRenderedPageBreak/>
              <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Les incidents de sécurité sont en dessous de la moyenne de l'industrie. Les péages sont fixés à un niveau approprié.</w:t>
            </w:r>
            <w:r w:rsidR="00C97BDA" w:rsidRPr="006A1526">
              <w:rPr>
                <w:rFonts w:asciiTheme="minorHAnsi" w:hAnsiTheme="minorHAnsi" w:cs="Arial"/>
                <w:sz w:val="20"/>
              </w:rPr>
              <w:t/>
            </w:r>
            <w:r w:rsidRPr="006A1526">
              <w:rPr>
                <w:rFonts w:asciiTheme="minorHAnsi" w:hAnsiTheme="minorHAnsi" w:cs="Arial"/>
                <w:sz w:val="20"/>
              </w:rPr>
              <w:t xml:space="preserve"/>
            </w:r>
            <w:r w:rsidR="00103D1D" w:rsidRPr="006A1526">
              <w:rPr>
                <w:rFonts w:asciiTheme="minorHAnsi" w:hAnsiTheme="minorHAnsi" w:cs="Arial"/>
                <w:sz w:val="20"/>
              </w:rPr>
              <w:t/>
            </w:r>
            <w:r w:rsidR="00C97BDA" w:rsidRPr="006A1526">
              <w:rPr>
                <w:rFonts w:asciiTheme="minorHAnsi" w:hAnsiTheme="minorHAnsi" w:cs="Arial"/>
                <w:sz w:val="20"/>
              </w:rPr>
              <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Les groupes autochtones adhèrent aux accords de participation économique si proposés.</w:t>
            </w:r>
            <w:r w:rsidR="000E3690">
              <w:rPr>
                <w:rFonts w:asciiTheme="minorHAnsi" w:hAnsiTheme="minorHAnsi" w:cs="Arial"/>
                <w:sz w:val="20"/>
              </w:rPr>
              <w:t/>
            </w:r>
            <w:r w:rsidRPr="006A1526">
              <w:rPr>
                <w:rFonts w:asciiTheme="minorHAnsi" w:hAnsiTheme="minorHAnsi" w:cs="Arial"/>
                <w:sz w:val="20"/>
              </w:rPr>
              <w:t xml:space="preserve"/>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Des conseillers financiers et juridiques sont retenus pour aider à gérer la monétisation. Aucun incident significatif lié à la sécurité en 2024.</w:t>
            </w:r>
            <w:r w:rsidR="00702FB3" w:rsidRPr="006A1526">
              <w:rPr>
                <w:rFonts w:asciiTheme="minorHAnsi" w:hAnsiTheme="minorHAnsi" w:cs="Arial"/>
                <w:sz w:val="20"/>
              </w:rPr>
              <w:t/>
            </w:r>
            <w:r w:rsidRPr="006A1526">
              <w:rPr>
                <w:rFonts w:asciiTheme="minorHAnsi" w:hAnsiTheme="minorHAnsi" w:cs="Arial"/>
                <w:sz w:val="20"/>
              </w:rPr>
              <w:t/>
            </w:r>
            <w:r w:rsidR="003D5A03" w:rsidRPr="006A1526">
              <w:rPr>
                <w:rFonts w:asciiTheme="minorHAnsi" w:hAnsiTheme="minorHAnsi" w:cs="Arial"/>
                <w:sz w:val="20"/>
              </w:rPr>
              <w:t xml:space="preserve"/>
            </w:r>
            <w:r w:rsidRPr="006A1526">
              <w:rPr>
                <w:rFonts w:asciiTheme="minorHAnsi" w:hAnsiTheme="minorHAnsi" w:cs="Arial"/>
                <w:sz w:val="20"/>
              </w:rPr>
              <w:t xml:space="preserve"/>
            </w:r>
            <w:r w:rsidRPr="006A1526">
              <w:rPr>
                <w:rFonts w:asciiTheme="minorHAnsi" w:hAnsiTheme="minorHAnsi" w:cs="Arial"/>
                <w:sz w:val="20"/>
              </w:rPr>
              <w:lastRenderedPageBreak/>
              <w:t/>
            </w:r>
            <w:r w:rsidR="003D5A03" w:rsidRPr="006A1526">
              <w:rPr>
                <w:rFonts w:asciiTheme="minorHAnsi" w:hAnsiTheme="minorHAnsi" w:cs="Arial"/>
                <w:sz w:val="20"/>
              </w:rPr>
              <w:t/>
            </w:r>
            <w:r w:rsidRPr="006A1526">
              <w:rPr>
                <w:rFonts w:asciiTheme="minorHAnsi" w:hAnsiTheme="minorHAnsi" w:cs="Arial"/>
                <w:sz w:val="20"/>
              </w:rPr>
              <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Les programmes que CDEV a contribué à lancer en 2023 et 2024, tels que CGF et ILGP, continuent de répondre à leurs objectifs.</w:t>
            </w:r>
            <w:r w:rsidR="006874C9" w:rsidRPr="00462C5F">
              <w:rPr>
                <w:rFonts w:asciiTheme="minorHAnsi" w:hAnsiTheme="minorHAnsi"/>
                <w:sz w:val="20"/>
              </w:rPr>
              <w:t/>
            </w:r>
            <w:r w:rsidR="00081167" w:rsidRPr="00462C5F">
              <w:rPr>
                <w:rFonts w:asciiTheme="minorHAnsi" w:hAnsiTheme="minorHAnsi"/>
                <w:sz w:val="20"/>
              </w:rPr>
              <w:t/>
            </w:r>
            <w:r w:rsidR="0090144A" w:rsidRPr="00462C5F">
              <w:rPr>
                <w:rFonts w:asciiTheme="minorHAnsi" w:hAnsiTheme="minorHAnsi"/>
                <w:sz w:val="20"/>
              </w:rPr>
              <w:t xml:space="preserve"/>
            </w:r>
            <w:r w:rsidR="00081167" w:rsidRPr="00462C5F">
              <w:rPr>
                <w:rFonts w:asciiTheme="minorHAnsi" w:hAnsiTheme="minorHAnsi"/>
                <w:sz w:val="20"/>
              </w:rPr>
              <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Les investissements CGF et les garanties de prêt dans le cadre du programme ILGP sont effectués conformément à leurs mandats respectifs. Une gouvernance et une supervision efficaces sont maintenues.</w:t>
            </w:r>
            <w:r w:rsidR="00885E49" w:rsidRPr="00462C5F">
              <w:rPr>
                <w:rFonts w:asciiTheme="minorHAnsi" w:hAnsiTheme="minorHAnsi"/>
                <w:sz w:val="20"/>
              </w:rPr>
              <w:t xml:space="preserve"/>
            </w:r>
            <w:r w:rsidR="00560082">
              <w:rPr>
                <w:rFonts w:asciiTheme="minorHAnsi" w:hAnsiTheme="minorHAnsi"/>
                <w:sz w:val="20"/>
              </w:rPr>
              <w:t/>
            </w:r>
            <w:r w:rsidR="00885E49" w:rsidRPr="00462C5F">
              <w:rPr>
                <w:rFonts w:asciiTheme="minorHAnsi" w:hAnsiTheme="minorHAnsi"/>
                <w:sz w:val="20"/>
              </w:rPr>
              <w:t xml:space="preserve"/>
            </w:r>
            <w:r w:rsidR="000529C0" w:rsidRPr="00462C5F">
              <w:rPr>
                <w:rFonts w:asciiTheme="minorHAnsi" w:hAnsiTheme="minorHAnsi"/>
                <w:sz w:val="20"/>
              </w:rPr>
              <w:t/>
            </w:r>
            <w:r w:rsidR="00885E49" w:rsidRPr="00462C5F">
              <w:rPr>
                <w:rFonts w:asciiTheme="minorHAnsi" w:hAnsiTheme="minorHAnsi"/>
                <w:sz w:val="20"/>
              </w:rPr>
              <w:t xml:space="preserve"/>
            </w:r>
            <w:r w:rsidR="00FD5DE5" w:rsidRPr="00462C5F">
              <w:rPr>
                <w:rFonts w:asciiTheme="minorHAnsi" w:hAnsiTheme="minorHAnsi"/>
                <w:sz w:val="20"/>
              </w:rPr>
              <w:t/>
            </w:r>
            <w:r w:rsidR="00885E49" w:rsidRPr="00462C5F">
              <w:rPr>
                <w:rFonts w:asciiTheme="minorHAnsi" w:hAnsiTheme="minorHAnsi"/>
                <w:sz w:val="20"/>
              </w:rPr>
              <w:t xml:space="preserve"/>
            </w:r>
            <w:r w:rsidR="0001004F" w:rsidRPr="00462C5F">
              <w:rPr>
                <w:rFonts w:asciiTheme="minorHAnsi" w:hAnsiTheme="minorHAnsi"/>
                <w:sz w:val="20"/>
              </w:rPr>
              <w:t xml:space="preserve"/>
            </w:r>
            <w:r w:rsidR="00885E49" w:rsidRPr="00462C5F">
              <w:rPr>
                <w:rFonts w:asciiTheme="minorHAnsi" w:hAnsiTheme="minorHAnsi"/>
                <w:sz w:val="20"/>
              </w:rPr>
              <w:t xml:space="preserve"/>
            </w:r>
            <w:r w:rsidR="009D6220" w:rsidRPr="00462C5F">
              <w:rPr>
                <w:rFonts w:asciiTheme="minorHAnsi" w:hAnsiTheme="minorHAnsi"/>
                <w:sz w:val="20"/>
              </w:rPr>
              <w:t/>
            </w:r>
            <w:r w:rsidR="00885E49" w:rsidRPr="00462C5F">
              <w:rPr>
                <w:rFonts w:asciiTheme="minorHAnsi" w:hAnsiTheme="minorHAnsi"/>
                <w:sz w:val="20"/>
              </w:rPr>
              <w:t xml:space="preserve"/>
            </w:r>
            <w:r w:rsidR="00E747FF" w:rsidRPr="00462C5F">
              <w:rPr>
                <w:rFonts w:asciiTheme="minorHAnsi" w:hAnsiTheme="minorHAnsi"/>
                <w:sz w:val="20"/>
              </w:rPr>
              <w:t/>
            </w:r>
            <w:r w:rsidR="00885E49" w:rsidRPr="00462C5F">
              <w:rPr>
                <w:rFonts w:asciiTheme="minorHAnsi" w:hAnsiTheme="minorHAnsi"/>
                <w:sz w:val="20"/>
              </w:rPr>
              <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À surveiller.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L'IMA avec CGFIM reste en vigueur et les besoins de CILGC pour opérer sont comblés.</w:t>
            </w:r>
            <w:r w:rsidR="00A33CA7" w:rsidRPr="00462C5F">
              <w:rPr>
                <w:rFonts w:asciiTheme="minorHAnsi" w:hAnsiTheme="minorHAnsi"/>
                <w:sz w:val="20"/>
              </w:rPr>
              <w:t/>
            </w:r>
            <w:r w:rsidRPr="00462C5F">
              <w:rPr>
                <w:rFonts w:asciiTheme="minorHAnsi" w:hAnsiTheme="minorHAnsi"/>
                <w:sz w:val="20"/>
              </w:rPr>
              <w:t xml:space="preserve"/>
            </w:r>
            <w:r w:rsidR="00981F53" w:rsidRPr="00462C5F">
              <w:rPr>
                <w:rFonts w:asciiTheme="minorHAnsi" w:hAnsiTheme="minorHAnsi"/>
                <w:sz w:val="20"/>
              </w:rPr>
              <w:t/>
            </w:r>
            <w:r w:rsidRPr="00462C5F">
              <w:rPr>
                <w:rFonts w:asciiTheme="minorHAnsi" w:hAnsiTheme="minorHAnsi"/>
                <w:sz w:val="20"/>
              </w:rPr>
              <w:t xml:space="preserve"/>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Gestion continue du NPI.</w:t>
            </w:r>
            <w:r w:rsidR="00081167" w:rsidRPr="006A1526">
              <w:rPr>
                <w:rFonts w:asciiTheme="minorHAnsi" w:hAnsiTheme="minorHAnsi" w:cs="Arial"/>
                <w:sz w:val="20"/>
                <w:szCs w:val="20"/>
              </w:rPr>
              <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Achèvement des audits annuels en temps opportun.</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Finaliser les audits dans les 4 ans suivant le dépôt.</w:t>
            </w:r>
            <w:r w:rsidR="00E411A3" w:rsidRPr="006A1526">
              <w:rPr>
                <w:rFonts w:asciiTheme="minorHAnsi" w:hAnsiTheme="minorHAnsi" w:cs="Arial"/>
                <w:sz w:val="20"/>
              </w:rPr>
              <w:t/>
            </w:r>
            <w:r w:rsidRPr="006A1526">
              <w:rPr>
                <w:rFonts w:asciiTheme="minorHAnsi" w:hAnsiTheme="minorHAnsi" w:cs="Arial"/>
                <w:sz w:val="20"/>
              </w:rPr>
              <w:t xml:space="preserve"/>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Progrès dans le dépôt des audits.</w:t>
            </w:r>
            <w:r w:rsidR="0032073B" w:rsidRPr="006A1526">
              <w:rPr>
                <w:rFonts w:asciiTheme="minorHAnsi" w:hAnsiTheme="minorHAnsi" w:cs="Arial"/>
                <w:sz w:val="20"/>
              </w:rPr>
              <w:t xml:space="preserve"/>
            </w:r>
            <w:r w:rsidR="00E411A3" w:rsidRPr="006A1526">
              <w:rPr>
                <w:rFonts w:asciiTheme="minorHAnsi" w:hAnsiTheme="minorHAnsi" w:cs="Arial"/>
                <w:sz w:val="20"/>
              </w:rPr>
              <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long terme (échéance supérieure à 5 ans).</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continue de remplir son mandat en tant que centre d'excellence en conseils financiers et commerciaux au gouvernement dans l'intérêt de tous les Canadiens.</w:t>
            </w:r>
            <w:r w:rsidR="00954A47" w:rsidRPr="006A1526">
              <w:rPr>
                <w:rFonts w:asciiTheme="minorHAnsi" w:hAnsiTheme="minorHAnsi" w:cs="Arial"/>
                <w:sz w:val="20"/>
              </w:rPr>
              <w:t xml:space="preserve"/>
            </w:r>
            <w:r w:rsidR="00AC0C2F" w:rsidRPr="006A1526">
              <w:rPr>
                <w:rFonts w:asciiTheme="minorHAnsi" w:hAnsiTheme="minorHAnsi" w:cs="Arial"/>
                <w:sz w:val="20"/>
              </w:rPr>
              <w:t xml:space="preserve"/>
            </w:r>
            <w:r w:rsidR="00581816" w:rsidRPr="006A1526">
              <w:rPr>
                <w:rFonts w:asciiTheme="minorHAnsi" w:hAnsiTheme="minorHAnsi" w:cs="Arial"/>
                <w:sz w:val="20"/>
              </w:rPr>
              <w:t/>
            </w:r>
            <w:r w:rsidR="00AC0C2F" w:rsidRPr="006A1526">
              <w:rPr>
                <w:rFonts w:asciiTheme="minorHAnsi" w:hAnsiTheme="minorHAnsi" w:cs="Arial"/>
                <w:sz w:val="20"/>
              </w:rPr>
              <w:t xml:space="preserve"/>
            </w:r>
            <w:r w:rsidR="00AC0CC7" w:rsidRPr="006A1526">
              <w:rPr>
                <w:rFonts w:asciiTheme="minorHAnsi" w:hAnsiTheme="minorHAnsi" w:cs="Arial"/>
                <w:sz w:val="20"/>
              </w:rPr>
              <w:t/>
            </w:r>
            <w:r w:rsidR="007E3D91" w:rsidRPr="006A1526">
              <w:rPr>
                <w:rFonts w:asciiTheme="minorHAnsi" w:hAnsiTheme="minorHAnsi" w:cs="Arial"/>
                <w:sz w:val="20"/>
              </w:rPr>
              <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 apporte ses perspectives distinctives et précieuses grâce à son expertise financière approfondie sur les transactions commerciales les plus complexes et diversifiées du pays et continue de promouvoir une discipline commerciale dans l'évaluation, la gestion et la cession d'actifs ainsi que d'autres initiatives qu'il mène en partenariat avec le gouvernement du Canada.</w:t>
            </w:r>
            <w:r w:rsidR="008C5E0B" w:rsidRPr="006A1526">
              <w:rPr>
                <w:rFonts w:asciiTheme="minorHAnsi" w:hAnsiTheme="minorHAnsi"/>
                <w:sz w:val="20"/>
                <w:szCs w:val="20"/>
              </w:rPr>
              <w:t xml:space="preserve"/>
            </w:r>
            <w:r w:rsidR="00A31002" w:rsidRPr="006A1526">
              <w:rPr>
                <w:rFonts w:asciiTheme="minorHAnsi" w:hAnsiTheme="minorHAnsi"/>
                <w:sz w:val="20"/>
                <w:szCs w:val="20"/>
              </w:rPr>
              <w:t/>
            </w:r>
            <w:r w:rsidR="008C5E0B" w:rsidRPr="006A1526">
              <w:rPr>
                <w:rFonts w:asciiTheme="minorHAnsi" w:hAnsiTheme="minorHAnsi"/>
                <w:sz w:val="20"/>
                <w:szCs w:val="20"/>
              </w:rPr>
              <w:t xml:space="preserve"/>
            </w:r>
            <w:r w:rsidR="000D6147" w:rsidRPr="006A1526">
              <w:rPr>
                <w:rFonts w:asciiTheme="minorHAnsi" w:hAnsiTheme="minorHAnsi"/>
                <w:sz w:val="20"/>
                <w:szCs w:val="20"/>
              </w:rPr>
              <w:t/>
            </w:r>
            <w:r w:rsidR="008C5E0B" w:rsidRPr="006A1526">
              <w:rPr>
                <w:rFonts w:asciiTheme="minorHAnsi" w:hAnsiTheme="minorHAnsi"/>
                <w:sz w:val="20"/>
                <w:szCs w:val="20"/>
              </w:rPr>
              <w:t xml:space="preserve"/>
            </w:r>
            <w:r w:rsidR="008C5E0B" w:rsidRPr="006A1526">
              <w:rPr>
                <w:rFonts w:asciiTheme="minorHAnsi" w:hAnsiTheme="minorHAnsi" w:cs="Aptos"/>
                <w:sz w:val="20"/>
                <w:szCs w:val="20"/>
              </w:rPr>
              <w:t/>
            </w:r>
            <w:r w:rsidR="008C5E0B" w:rsidRPr="006A1526">
              <w:rPr>
                <w:rFonts w:asciiTheme="minorHAnsi" w:hAnsiTheme="minorHAnsi"/>
                <w:sz w:val="20"/>
                <w:szCs w:val="20"/>
              </w:rPr>
              <w:t/>
            </w:r>
            <w:r w:rsidR="00954A47" w:rsidRPr="006A1526">
              <w:rPr>
                <w:rFonts w:asciiTheme="minorHAnsi" w:hAnsiTheme="minorHAnsi"/>
                <w:sz w:val="20"/>
                <w:szCs w:val="20"/>
              </w:rPr>
              <w:t xml:space="preserve"/>
            </w:r>
            <w:r w:rsidR="0037614D" w:rsidRPr="006A1526">
              <w:rPr>
                <w:rFonts w:asciiTheme="minorHAnsi" w:hAnsiTheme="minorHAnsi"/>
                <w:sz w:val="20"/>
                <w:szCs w:val="20"/>
              </w:rPr>
              <w:t xml:space="preserve"/>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À surveiller.</w:t>
            </w:r>
            <w:r w:rsidR="000A6715" w:rsidRPr="006A1526">
              <w:rPr>
                <w:rFonts w:asciiTheme="minorHAnsi" w:hAnsiTheme="minorHAnsi" w:cs="Arial"/>
                <w:sz w:val="20"/>
              </w:rPr>
              <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CDEV a réussi à développer une nouvelle orientation stratégique et à renforcer ses capacités internes pour fournir des conseils au gouvernement de manière rentable.</w:t>
            </w:r>
            <w:r w:rsidR="00487D56" w:rsidRPr="006A1526">
              <w:rPr>
                <w:rFonts w:asciiTheme="minorHAnsi" w:hAnsiTheme="minorHAnsi" w:cs="Arial"/>
                <w:sz w:val="20"/>
              </w:rPr>
              <w:t xml:space="preserve"/>
            </w:r>
            <w:r w:rsidRPr="006A1526">
              <w:rPr>
                <w:rFonts w:asciiTheme="minorHAnsi" w:hAnsiTheme="minorHAnsi" w:cs="Arial"/>
                <w:sz w:val="20"/>
              </w:rPr>
              <w:t xml:space="preserve"/>
            </w:r>
            <w:r w:rsidR="008D3752" w:rsidRPr="006A1526">
              <w:rPr>
                <w:rFonts w:asciiTheme="minorHAnsi" w:hAnsiTheme="minorHAnsi" w:cs="Arial"/>
                <w:sz w:val="20"/>
              </w:rPr>
              <w:t/>
            </w:r>
            <w:r w:rsidRPr="006A1526">
              <w:rPr>
                <w:rFonts w:asciiTheme="minorHAnsi" w:hAnsiTheme="minorHAnsi" w:cs="Arial"/>
                <w:sz w:val="20"/>
              </w:rPr>
              <w:t/>
            </w:r>
            <w:r w:rsidR="008D3752" w:rsidRPr="006A1526">
              <w:rPr>
                <w:rFonts w:asciiTheme="minorHAnsi" w:hAnsiTheme="minorHAnsi" w:cs="Arial"/>
                <w:sz w:val="20"/>
              </w:rPr>
              <w:t xml:space="preserve"/>
            </w:r>
            <w:r w:rsidR="00136177" w:rsidRPr="006A1526">
              <w:rPr>
                <w:rFonts w:asciiTheme="minorHAnsi" w:hAnsiTheme="minorHAnsi" w:cs="Arial"/>
                <w:sz w:val="20"/>
              </w:rPr>
              <w:t/>
            </w:r>
            <w:r w:rsidR="008D3752" w:rsidRPr="006A1526">
              <w:rPr>
                <w:rFonts w:asciiTheme="minorHAnsi" w:hAnsiTheme="minorHAnsi" w:cs="Arial"/>
                <w:sz w:val="20"/>
              </w:rPr>
              <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ANNEXE A-4 : PRIORITÉS DU GOUVERNEMENT ET CONFORMITÉ AUX EXIGENCES LÉGISLATIVES ET POLITIQUES.</w:t>
      </w:r>
      <w:r w:rsidR="007444E9">
        <w:rPr>
          <w:sz w:val="28"/>
          <w:szCs w:val="28"/>
        </w:rPr>
        <w:t/>
      </w:r>
      <w:r w:rsidR="00E536E5" w:rsidRPr="00116085">
        <w:rPr>
          <w:sz w:val="28"/>
          <w:szCs w:val="28"/>
        </w:rPr>
        <w:t xml:space="preserve"/>
      </w:r>
      <w:r w:rsidR="003A7D58" w:rsidRPr="00116085">
        <w:rPr>
          <w:sz w:val="28"/>
          <w:szCs w:val="28"/>
        </w:rPr>
        <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Rapportage Environnemental, Social et Gouvernance « ESG ».</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inclut la gestion d’actifs stratégiques pour le gouvernement du Canada, CDEV reconnaît que son approche face aux facteurs liés aux changements climatiques a une incidence directe sur son succès, tout en soutenant l’engagement du Canada à opérer une transition vers une économie à faibles émissions de carbone, tout en favorisant une croissance durable et la prospérité pour tous les Canadiens. En juillet 2023, CDEV a publié son tout premier rapport de divulgation relatif aux changements climatiques, basé sur les recommandations de la Task Force on Climate‑related Financial Disclosures (« TCFD »), concernant CDEV ainsi que son groupe d’entreprises. CDEV a ensuite publié son deuxième rapport TCFD en juillet 2024. À travers ces rapports annuels, CDEV partage sa stratégie, ses progrès et ses ambitions pour répondre aux risques et opportunités liés aux changements climatiques, tant au niveau de la société mère que de ses filiales. Dans le cadre de ce travail, CDEV a réalisé une analyse de matérialité sur les changements climatiques pour identifier, évaluer et prioriser les risques et opportunités correspondants, et a entamé un processus d’élaboration de stratégie pour intégrer davantage les changements climatiques dans son modèle d’affaires.</w:t>
      </w:r>
      <w:r>
        <w:rPr>
          <w:rFonts w:cs="Arial"/>
        </w:rPr>
        <w:t/>
      </w:r>
      <w:r w:rsidRPr="00E332AF">
        <w:rPr>
          <w:rFonts w:cs="Arial"/>
        </w:rPr>
        <w:t/>
      </w:r>
      <w:r>
        <w:rPr>
          <w:rFonts w:cs="Arial"/>
        </w:rPr>
        <w:t/>
      </w:r>
      <w:r w:rsidRPr="00E332AF">
        <w:rPr>
          <w:rFonts w:cs="Arial"/>
        </w:rPr>
        <w:t xml:space="preserve"/>
      </w:r>
      <w:r>
        <w:rPr>
          <w:rFonts w:cs="Arial"/>
        </w:rPr>
        <w:t xml:space="preserve"/>
      </w:r>
      <w:r w:rsidRPr="00E332AF">
        <w:rPr>
          <w:rFonts w:cs="Arial"/>
        </w:rPr>
        <w:t xml:space="preserve"/>
      </w:r>
      <w:r>
        <w:rPr>
          <w:rFonts w:cs="Arial"/>
        </w:rPr>
        <w:t xml:space="preserve"/>
      </w:r>
      <w:r w:rsidRPr="00E332AF">
        <w:rPr>
          <w:rFonts w:cs="Arial"/>
        </w:rPr>
        <w:t xml:space="preserve"/>
      </w:r>
      <w:r>
        <w:rPr>
          <w:rFonts w:cs="Arial"/>
        </w:rPr>
        <w:t/>
      </w:r>
      <w:r w:rsidRPr="00E332AF">
        <w:rPr>
          <w:rFonts w:cs="Arial"/>
        </w:rPr>
        <w:t xml:space="preserve"/>
      </w:r>
      <w:r>
        <w:rPr>
          <w:rFonts w:cs="Arial"/>
        </w:rPr>
        <w:t/>
      </w:r>
      <w:r w:rsidRPr="00E332AF">
        <w:rPr>
          <w:rFonts w:cs="Arial"/>
        </w:rPr>
        <w:t xml:space="preserve"/>
      </w:r>
      <w:r>
        <w:rPr>
          <w:rFonts w:cs="Arial"/>
        </w:rPr>
        <w:t/>
      </w:r>
      <w:r w:rsidRPr="00E332AF">
        <w:rPr>
          <w:rFonts w:cs="Arial"/>
        </w:rPr>
        <w:t xml:space="preserve"/>
      </w:r>
      <w:r>
        <w:rPr>
          <w:rFonts w:cs="Arial"/>
        </w:rPr>
        <w:t/>
      </w:r>
      <w:r w:rsidRPr="00E332AF">
        <w:rPr>
          <w:rFonts w:ascii="Aptos" w:hAnsi="Aptos" w:cs="Aptos"/>
        </w:rPr>
        <w:t/>
      </w:r>
      <w:r w:rsidRPr="00E332AF">
        <w:rPr>
          <w:rFonts w:cs="Arial"/>
        </w:rPr>
        <w:t/>
      </w:r>
      <w:r w:rsidRPr="00E332AF">
        <w:rPr>
          <w:rFonts w:ascii="Cambria Math" w:hAnsi="Cambria Math" w:cs="Cambria Math"/>
        </w:rPr>
        <w:t/>
      </w:r>
      <w:r w:rsidRPr="00E332AF">
        <w:rPr>
          <w:rFonts w:cs="Arial"/>
        </w:rPr>
        <w:t xml:space="preserve"/>
      </w:r>
      <w:r w:rsidR="002227A4">
        <w:rPr>
          <w:rFonts w:cs="Arial"/>
        </w:rPr>
        <w:t xml:space="preserve"/>
      </w:r>
      <w:r w:rsidR="00804F25">
        <w:rPr>
          <w:rFonts w:cs="Arial"/>
        </w:rPr>
        <w:t/>
      </w:r>
      <w:r w:rsidR="002227A4">
        <w:rPr>
          <w:rFonts w:cs="Arial"/>
        </w:rPr>
        <w:t/>
      </w:r>
      <w:r w:rsidR="00804F25">
        <w:rPr>
          <w:rFonts w:cs="Arial"/>
        </w:rPr>
        <w:t xml:space="preserve"/>
      </w:r>
      <w:r w:rsidR="002227A4">
        <w:rPr>
          <w:rFonts w:cs="Arial"/>
        </w:rPr>
        <w:t/>
      </w:r>
      <w:r w:rsidRPr="00E332AF">
        <w:rPr>
          <w:rFonts w:cs="Arial"/>
        </w:rPr>
        <w:t xml:space="preserve"/>
      </w:r>
      <w:r w:rsidR="00D4376C">
        <w:rPr>
          <w:rFonts w:cs="Arial"/>
        </w:rPr>
        <w:t/>
      </w:r>
      <w:r w:rsidRPr="00E332AF">
        <w:rPr>
          <w:rFonts w:cs="Arial"/>
        </w:rPr>
        <w:t/>
      </w:r>
      <w:r w:rsidRPr="00E332AF">
        <w:rPr>
          <w:rFonts w:ascii="Cambria Math" w:hAnsi="Cambria Math" w:cs="Cambria Math"/>
        </w:rPr>
        <w:t/>
      </w:r>
      <w:r w:rsidRPr="00E332AF">
        <w:rPr>
          <w:rFonts w:cs="Arial"/>
        </w:rPr>
        <w:t xml:space="preserve"/>
      </w:r>
      <w:r w:rsidR="00932E28">
        <w:rPr>
          <w:rFonts w:cs="Arial"/>
        </w:rPr>
        <w:t/>
      </w:r>
      <w:r w:rsidRPr="00E332AF">
        <w:rPr>
          <w:rFonts w:cs="Arial"/>
        </w:rPr>
        <w:t/>
      </w:r>
      <w:r w:rsidR="00E849CD">
        <w:rPr>
          <w:rFonts w:cs="Arial"/>
        </w:rPr>
        <w:t xml:space="preserve"/>
      </w:r>
      <w:r w:rsidRPr="00E332AF">
        <w:rPr>
          <w:rFonts w:cs="Arial"/>
        </w:rPr>
        <w:t xml:space="preserve"/>
      </w:r>
      <w:r w:rsidR="007475B7">
        <w:rPr>
          <w:rFonts w:cs="Arial"/>
        </w:rPr>
        <w:t/>
      </w:r>
      <w:r w:rsidRPr="00E332AF">
        <w:rPr>
          <w:rFonts w:cs="Arial"/>
        </w:rPr>
        <w:t xml:space="preserve"/>
      </w:r>
      <w:r w:rsidR="007475B7">
        <w:rPr>
          <w:rFonts w:cs="Arial"/>
        </w:rPr>
        <w:t xml:space="preserve"/>
      </w:r>
      <w:r w:rsidRPr="00E332AF">
        <w:rPr>
          <w:rFonts w:cs="Arial"/>
        </w:rPr>
        <w:t/>
      </w:r>
      <w:r w:rsidR="007475B7">
        <w:rPr>
          <w:rFonts w:cs="Arial"/>
        </w:rPr>
        <w:t/>
      </w:r>
      <w:r w:rsidRPr="00E332AF">
        <w:rPr>
          <w:rFonts w:cs="Arial"/>
        </w:rPr>
        <w:t xml:space="preserve"/>
      </w:r>
      <w:r w:rsidR="007475B7">
        <w:rPr>
          <w:rFonts w:cs="Arial"/>
        </w:rPr>
        <w:t/>
      </w:r>
      <w:r w:rsidRPr="00E332AF">
        <w:rPr>
          <w:rFonts w:cs="Arial"/>
        </w:rPr>
        <w:t xml:space="preserve"/>
      </w:r>
      <w:r w:rsidR="007475B7">
        <w:rPr>
          <w:rFonts w:cs="Arial"/>
        </w:rPr>
        <w:t/>
      </w:r>
      <w:r w:rsidRPr="00E332AF">
        <w:rPr>
          <w:rFonts w:cs="Arial"/>
        </w:rPr>
        <w:t xml:space="preserve"/>
      </w:r>
      <w:r w:rsidR="007475B7">
        <w:rPr>
          <w:rFonts w:cs="Arial"/>
        </w:rPr>
        <w:t/>
      </w:r>
      <w:r w:rsidRPr="00E332AF">
        <w:rPr>
          <w:rFonts w:cs="Arial"/>
        </w:rPr>
        <w:t xml:space="preserve"/>
      </w:r>
      <w:r w:rsidRPr="00E332AF">
        <w:rPr>
          <w:rFonts w:ascii="Cambria Math" w:hAnsi="Cambria Math" w:cs="Cambria Math"/>
        </w:rPr>
        <w:t/>
      </w:r>
      <w:r w:rsidRPr="00E332AF">
        <w:rPr>
          <w:rFonts w:cs="Arial"/>
        </w:rPr>
        <w:t/>
      </w:r>
      <w:r w:rsidRPr="00E332AF">
        <w:rPr>
          <w:rFonts w:ascii="Aptos" w:hAnsi="Aptos" w:cs="Aptos"/>
        </w:rPr>
        <w:t/>
      </w:r>
      <w:r w:rsidRPr="00E332AF">
        <w:rPr>
          <w:rFonts w:cs="Arial"/>
        </w:rPr>
        <w:t xml:space="preserve"/>
      </w:r>
      <w:r w:rsidR="007475B7">
        <w:rPr>
          <w:rFonts w:cs="Arial"/>
        </w:rPr>
        <w:t/>
      </w:r>
      <w:r w:rsidRPr="00E332AF">
        <w:rPr>
          <w:rFonts w:cs="Arial"/>
        </w:rPr>
        <w:t xml:space="preserve"/>
      </w:r>
      <w:r w:rsidR="00945D61">
        <w:rPr>
          <w:rFonts w:cs="Arial"/>
        </w:rPr>
        <w:t/>
      </w:r>
      <w:r w:rsidRPr="00E332AF">
        <w:rPr>
          <w:rFonts w:cs="Arial"/>
        </w:rPr>
        <w:t xml:space="preserve"/>
      </w:r>
      <w:r w:rsidRPr="00E332AF">
        <w:rPr>
          <w:rFonts w:ascii="Cambria Math" w:hAnsi="Cambria Math" w:cs="Cambria Math"/>
        </w:rPr>
        <w:t/>
      </w:r>
      <w:r w:rsidRPr="00E332AF">
        <w:rPr>
          <w:rFonts w:cs="Arial"/>
        </w:rPr>
        <w:t/>
      </w:r>
      <w:r w:rsidR="004A1E51">
        <w:rPr>
          <w:rFonts w:cs="Arial"/>
        </w:rPr>
        <w:t/>
      </w:r>
      <w:r w:rsidRPr="00E332AF">
        <w:rPr>
          <w:rFonts w:cs="Arial"/>
        </w:rPr>
        <w:t xml:space="preserve"/>
      </w:r>
      <w:r w:rsidR="0021562C">
        <w:rPr>
          <w:rFonts w:cs="Arial"/>
        </w:rPr>
        <w:t xml:space="preserve"/>
      </w:r>
      <w:r w:rsidR="00B57EEC">
        <w:rPr>
          <w:rFonts w:cs="Arial"/>
        </w:rPr>
        <w:t/>
      </w:r>
      <w:r w:rsidR="0021562C">
        <w:rPr>
          <w:rFonts w:cs="Arial"/>
        </w:rPr>
        <w:t/>
      </w:r>
      <w:r w:rsidRPr="00E332AF">
        <w:rPr>
          <w:rFonts w:cs="Arial"/>
        </w:rPr>
        <w:t xml:space="preserve"/>
      </w:r>
      <w:r w:rsidR="0021562C">
        <w:rPr>
          <w:rFonts w:cs="Arial"/>
        </w:rPr>
        <w:t/>
      </w:r>
      <w:r w:rsidRPr="00E332AF">
        <w:rPr>
          <w:rFonts w:cs="Arial"/>
        </w:rPr>
        <w:t xml:space="preserve"/>
      </w:r>
      <w:r w:rsidRPr="00583D7B">
        <w:rPr>
          <w:rFonts w:cs="Arial"/>
        </w:rPr>
        <w:t xml:space="preserve"/>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continuera à publier annuellement des rapports sur les risques climatiques en utilisant le cadre TCFD. Conformément au plan établi, CDEV réalisera des scénarios climatiques qualitatifs et travaillera à renforcer l’intégration des enjeux climatiques avec son groupe d’entreprises. De plus, CDEV a rejoint la Communauté des pratiques écologiques des sociétés d’État ainsi que le Groupe de travail des sociétés d’État sur la durabilité et les risques et divulgations liés au climat, afin de mieux collaborer et partager les bonnes pratiques avec d’autres sociétés d’État en vue de s’aligner sur la Stratégie pour un gouvernement vert.</w:t>
      </w:r>
      <w:r w:rsidR="00F65614">
        <w:rPr>
          <w:lang w:val="en-CA"/>
        </w:rPr>
        <w:t xml:space="preserve"/>
      </w:r>
      <w:r w:rsidRPr="00365DBB">
        <w:rPr>
          <w:sz w:val="18"/>
          <w:szCs w:val="18"/>
          <w:lang w:val="en-CA"/>
        </w:rPr>
        <w:t xml:space="preserve"/>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Tel qu’indiqué dans le rapport TCFD de CDEV, les divulgations financières liées au climat, telles que déclarées par CDEV, concernent principalement CDEV lui-même, CEEFC et CHHC.</w:t>
      </w:r>
      <w:r w:rsidR="006E2A2D">
        <w:rPr>
          <w:rFonts w:cs="Arial"/>
        </w:rPr>
        <w:t/>
      </w:r>
      <w:r>
        <w:rPr>
          <w:rFonts w:cs="Arial"/>
        </w:rPr>
        <w:t xml:space="preserve"/>
      </w:r>
      <w:r w:rsidR="006E2A2D">
        <w:rPr>
          <w:rFonts w:cs="Arial"/>
        </w:rPr>
        <w:t/>
      </w:r>
      <w:r w:rsidR="00E702DB">
        <w:rPr>
          <w:rFonts w:cs="Arial"/>
        </w:rPr>
        <w:t xml:space="preserve"/>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 filiale la plus active et la plus importante de CDEV, et elle produit ses propres rapports exhaustifs en matière d’ESG et de changements climatiques.</w:t>
      </w:r>
      <w:r w:rsidRPr="00E702DB">
        <w:rPr>
          <w:rFonts w:ascii="Aptos" w:hAnsi="Aptos" w:cs="Aptos"/>
        </w:rPr>
        <w:t/>
      </w:r>
      <w:r w:rsidRPr="00E702DB">
        <w:rPr>
          <w:rFonts w:cs="Arial"/>
        </w:rPr>
        <w:t/>
      </w:r>
      <w:r>
        <w:rPr>
          <w:rFonts w:cs="Arial"/>
        </w:rPr>
        <w:t xml:space="preserve"/>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Concernant le CGF, CDEV est fière d’avoir établi ce véhicule d’investissement public unique à distance, doté de 15 milliards de dollars, qui aide à attirer des capitaux privés pour bâtir l’économie propre du Canada, en ayant déjà annoncé une série d’initiatives importantes à cet égard. Le CGF a alloué jusqu’à 7 milliards de dollars de son capital actuel de 15 milliards pour émettre toutes formes de contrats de différence et d’accords d’achat, faisant de lui la principale entité fédérale émettant de tels contrats innovants. Concernant les rapports publics, CGFIM commencera à publier formellement des divulgations climatiques à partir de l’année civile 2025, conformément aux conditions de l’accord de gestion d’investissement avec CDEV.</w:t>
      </w:r>
      <w:r w:rsidR="00DD5B16">
        <w:rPr>
          <w:rFonts w:cs="Arial"/>
        </w:rPr>
        <w:t/>
      </w:r>
      <w:r w:rsidR="00DD5B16" w:rsidRPr="00E332AF">
        <w:rPr>
          <w:rFonts w:cs="Arial"/>
        </w:rPr>
        <w:t xml:space="preserve"/>
      </w:r>
      <w:r w:rsidR="00DD5B16" w:rsidRPr="00E332AF">
        <w:rPr>
          <w:rFonts w:ascii="Cambria Math" w:hAnsi="Cambria Math" w:cs="Cambria Math"/>
        </w:rPr>
        <w:t/>
      </w:r>
      <w:r w:rsidR="00DD5B16" w:rsidRPr="00E332AF">
        <w:rPr>
          <w:rFonts w:cs="Arial"/>
        </w:rPr>
        <w:t/>
      </w:r>
      <w:r w:rsidR="00DD5B16" w:rsidRPr="00E332AF">
        <w:rPr>
          <w:rFonts w:ascii="Aptos" w:hAnsi="Aptos" w:cs="Aptos"/>
        </w:rPr>
        <w:t/>
      </w:r>
      <w:r w:rsidR="00DD5B16" w:rsidRPr="00E332AF">
        <w:rPr>
          <w:rFonts w:cs="Arial"/>
        </w:rPr>
        <w:t/>
      </w:r>
      <w:r w:rsidR="00DD5B16" w:rsidRPr="00E332AF">
        <w:rPr>
          <w:rFonts w:ascii="Aptos" w:hAnsi="Aptos" w:cs="Aptos"/>
        </w:rPr>
        <w:t/>
      </w:r>
      <w:r w:rsidR="00DD5B16" w:rsidRPr="00E332AF">
        <w:rPr>
          <w:rFonts w:cs="Arial"/>
        </w:rPr>
        <w:t xml:space="preserve"/>
      </w:r>
      <w:r w:rsidR="008260BE">
        <w:rPr>
          <w:rFonts w:cs="Arial"/>
        </w:rPr>
        <w:t/>
      </w:r>
      <w:r w:rsidR="00DD5B16" w:rsidRPr="00E332AF">
        <w:rPr>
          <w:rFonts w:cs="Arial"/>
        </w:rPr>
        <w:t xml:space="preserve"/>
      </w:r>
      <w:r w:rsidR="00592AF8">
        <w:rPr>
          <w:rFonts w:cs="Arial"/>
        </w:rPr>
        <w:t/>
      </w:r>
      <w:r w:rsidR="00DD5B16" w:rsidRPr="00E332AF">
        <w:rPr>
          <w:rFonts w:cs="Arial"/>
        </w:rPr>
        <w:t xml:space="preserve"/>
      </w:r>
      <w:r w:rsidR="00592AF8">
        <w:rPr>
          <w:rFonts w:cs="Arial"/>
        </w:rPr>
        <w:t xml:space="preserve"/>
      </w:r>
      <w:r w:rsidR="00D709F3">
        <w:rPr>
          <w:rFonts w:cs="Arial"/>
        </w:rPr>
        <w:t xml:space="preserve"/>
      </w:r>
      <w:r w:rsidR="004F7E41">
        <w:rPr>
          <w:rFonts w:cs="Arial"/>
        </w:rPr>
        <w:t/>
      </w:r>
      <w:r w:rsidR="008C23F3">
        <w:rPr>
          <w:rFonts w:cs="Arial"/>
        </w:rPr>
        <w:t/>
      </w:r>
      <w:r w:rsidR="004F7E41">
        <w:rPr>
          <w:rFonts w:cs="Arial"/>
        </w:rPr>
        <w:t xml:space="preserve"/>
      </w:r>
      <w:r w:rsidR="004B5AF2">
        <w:rPr>
          <w:rFonts w:cs="Arial"/>
        </w:rPr>
        <w:t xml:space="preserve"/>
      </w:r>
      <w:r w:rsidRPr="00B90179">
        <w:rPr>
          <w:rFonts w:cs="Arial"/>
        </w:rPr>
        <w:t/>
      </w:r>
      <w:r w:rsidR="008D2C61">
        <w:rPr>
          <w:rFonts w:cs="Arial"/>
        </w:rPr>
        <w:t/>
      </w:r>
      <w:r w:rsidRPr="00B90179">
        <w:rPr>
          <w:rFonts w:cs="Arial"/>
        </w:rPr>
        <w:t/>
      </w:r>
      <w:r w:rsidR="00F52B56">
        <w:rPr>
          <w:rFonts w:cs="Arial"/>
        </w:rPr>
        <w:t xml:space="preserve"/>
      </w:r>
      <w:r w:rsidRPr="00B90179">
        <w:rPr>
          <w:rFonts w:cs="Arial"/>
        </w:rPr>
        <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L’approche de CEEFC en matière de quantification des émissions de GES prend en compte la nature unique de ses activités. Conformément aux termes et conditions des prêts LEEFF, les emprunteurs LEEFF doivent publier un rapport annuel de divulgation financière relatif aux changements climatiques, précisant comment la gouvernance d’entreprise, les stratégies, les politiques et les pratiques aideront à gérer les risques et opportunités climatiques, et contribueront aux engagements du Canada dans le cadre de l’Accord de Paris ainsi qu’à l’objectif de carboneutralité d’ici 2050. En exigeant cette divulgation pour les emprunteurs titulaires d’un prêt LEEFF sans bon, comme Air Transat et Porter Airlines, CEEFC est en mesure de suivre leurs performances climatiques. CEEFC peut également suivre la performance climatique des emprunteurs disposant uniquement de bons (Air Canada et Sunwing) grâce à leurs rapports publics. Parmi les quatre emprunteurs de CEEFC, seuls deux sont tenus de produire un rapport TCFD (en tant qu’exigence des facilités de crédit sans bon). Pour plus de détails, veuillez consulter le dernier rapport TCFD de CDEV.</w:t>
      </w:r>
      <w:r w:rsidRPr="00161D72">
        <w:rPr>
          <w:rFonts w:cs="Arial"/>
        </w:rPr>
        <w:t xml:space="preserve"/>
      </w:r>
      <w:r w:rsidR="0027461D">
        <w:rPr>
          <w:rFonts w:cs="Arial"/>
        </w:rPr>
        <w:t/>
      </w:r>
      <w:r w:rsidRPr="00161D72">
        <w:rPr>
          <w:rFonts w:cs="Arial"/>
        </w:rPr>
        <w:t xml:space="preserve"/>
      </w:r>
      <w:r w:rsidRPr="00161D72">
        <w:rPr>
          <w:rFonts w:cs="Arial"/>
        </w:rPr>
        <w:lastRenderedPageBreak/>
        <w:t xml:space="preserve"/>
      </w:r>
      <w:proofErr w:type="gramStart"/>
      <w:r w:rsidRPr="00161D72">
        <w:rPr>
          <w:rFonts w:cs="Arial"/>
        </w:rPr>
        <w:t/>
      </w:r>
      <w:proofErr w:type="gramEnd"/>
      <w:r w:rsidRPr="00161D72">
        <w:rPr>
          <w:rFonts w:cs="Arial"/>
        </w:rPr>
        <w:t xml:space="preserve"/>
      </w:r>
      <w:r w:rsidR="00873345">
        <w:rPr>
          <w:rFonts w:cs="Arial"/>
        </w:rPr>
        <w:t/>
      </w:r>
      <w:r w:rsidRPr="00161D72">
        <w:rPr>
          <w:rFonts w:cs="Arial"/>
        </w:rPr>
        <w:t xml:space="preserve"/>
      </w:r>
      <w:proofErr w:type="spellStart"/>
      <w:r w:rsidRPr="00161D72">
        <w:rPr>
          <w:rFonts w:cs="Arial"/>
        </w:rPr>
        <w:t/>
      </w:r>
      <w:proofErr w:type="spellEnd"/>
      <w:r w:rsidRPr="00161D72">
        <w:rPr>
          <w:rFonts w:cs="Arial"/>
        </w:rPr>
        <w:t/>
      </w:r>
      <w:r w:rsidRPr="00161D72">
        <w:rPr>
          <w:rFonts w:ascii="Aptos" w:hAnsi="Aptos" w:cs="Aptos"/>
        </w:rPr>
        <w:t/>
      </w:r>
      <w:r w:rsidRPr="00161D72">
        <w:rPr>
          <w:rFonts w:cs="Arial"/>
        </w:rPr>
        <w:t xml:space="preserve"/>
      </w:r>
      <w:r w:rsidR="00873345">
        <w:rPr>
          <w:rFonts w:cs="Arial"/>
        </w:rPr>
        <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Concernant CHHC, elle suit ses émissions directes de GES ainsi que sa part proportionnelle des émissions de GES de la plateforme Hibernia. CHHC a collaboré avec les propriétaires d’Hibernia pour identifier, soutenir et promouvoir les initiatives de réduction des GES sur le site d’Hibernia, ainsi que pour développer une approche ESG globale. CHHC a adopté les principes du cadre TCFD afin de développer ses rapports sur les risques, opportunités et mesures relatifs aux changements climatiques, et ses divulgations sont intégrées dans le rapport TCFD de CDEV.</w:t>
      </w:r>
      <w:r w:rsidRPr="00D41A8C">
        <w:rPr>
          <w:bCs/>
        </w:rPr>
        <w:t/>
      </w:r>
      <w:r>
        <w:rPr>
          <w:bCs/>
        </w:rPr>
        <w:t/>
      </w:r>
      <w:r w:rsidRPr="00D41A8C">
        <w:rPr>
          <w:bCs/>
        </w:rPr>
        <w:t xml:space="preserve"/>
      </w:r>
      <w:r w:rsidR="00E60AE4">
        <w:rPr>
          <w:bCs/>
        </w:rPr>
        <w:t xml:space="preserve"/>
      </w:r>
      <w:r w:rsidRPr="00D41A8C">
        <w:rPr>
          <w:bCs/>
        </w:rPr>
        <w:t/>
      </w:r>
      <w:r w:rsidR="00E60AE4">
        <w:rPr>
          <w:bCs/>
        </w:rPr>
        <w:t xml:space="preserve"/>
      </w:r>
      <w:r w:rsidR="00E60AE4" w:rsidRPr="00D41A8C">
        <w:rPr>
          <w:bCs/>
        </w:rPr>
        <w:t xml:space="preserve"/>
      </w:r>
      <w:r w:rsidR="00E60AE4">
        <w:rPr>
          <w:bCs/>
        </w:rPr>
        <w:t/>
      </w:r>
      <w:r w:rsidR="00E60AE4" w:rsidRPr="008B1BBF">
        <w:t xml:space="preserve"/>
      </w:r>
      <w:r w:rsidR="00E60AE4" w:rsidRPr="00D41A8C">
        <w:rPr>
          <w:bCs/>
        </w:rPr>
        <w:t/>
      </w:r>
      <w:r w:rsidR="00E60AE4">
        <w:rPr>
          <w:bCs/>
        </w:rPr>
        <w:t xml:space="preserve"/>
      </w:r>
      <w:r w:rsidR="00E60AE4" w:rsidRPr="00D41A8C">
        <w:rPr>
          <w:bCs/>
        </w:rPr>
        <w:t xml:space="preserve"/>
      </w:r>
      <w:r w:rsidR="00E60AE4">
        <w:rPr>
          <w:bCs/>
        </w:rPr>
        <w:t/>
      </w:r>
      <w:r w:rsidR="00E60AE4" w:rsidRPr="00D41A8C">
        <w:rPr>
          <w:bCs/>
        </w:rPr>
        <w:t xml:space="preserve"/>
      </w:r>
      <w:r w:rsidR="008C23F3">
        <w:rPr>
          <w:bCs/>
        </w:rPr>
        <w:t/>
      </w:r>
      <w:r w:rsidR="00E60AE4">
        <w:rPr>
          <w:bCs/>
        </w:rPr>
        <w:t xml:space="preserve"/>
      </w:r>
      <w:r w:rsidR="00E60AE4" w:rsidRPr="00D41A8C">
        <w:rPr>
          <w:bCs/>
        </w:rPr>
        <w:t xml:space="preserve"/>
      </w:r>
      <w:r w:rsidR="008C23F3">
        <w:rPr>
          <w:bCs/>
        </w:rPr>
        <w:t/>
      </w:r>
      <w:r w:rsidR="00E60AE4" w:rsidRPr="00D41A8C">
        <w:rPr>
          <w:bCs/>
        </w:rPr>
        <w:t xml:space="preserve"/>
      </w:r>
      <w:r w:rsidR="008C23F3">
        <w:rPr>
          <w:bCs/>
        </w:rPr>
        <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son groupe d’entreprises ont approuvé et publié leur plan visant à rendre leurs opérations accessibles à leurs employés et au public. CDEV a engagé les services d’un cabinet professionnel pour l’aider à valider et rapporter sur ses efforts. CDEV a publié un premier rapport d’étape en décembre 2023 et continuera de publier des rapports annuels sur les questions d’accessibilité, comme prévu.</w:t>
      </w:r>
      <w:r w:rsidR="008C23F3">
        <w:rPr>
          <w:rFonts w:cs="Arial"/>
          <w:lang w:val="en-CA"/>
        </w:rPr>
        <w:t xml:space="preserve"/>
      </w:r>
      <w:r w:rsidRPr="008C23F3">
        <w:rPr>
          <w:rFonts w:cs="Arial"/>
          <w:lang w:val="en-CA"/>
        </w:rPr>
        <w:t xml:space="preserve"/>
      </w:r>
      <w:r w:rsidR="00713081">
        <w:rPr>
          <w:rFonts w:cs="Arial"/>
          <w:lang w:val="en-CA"/>
        </w:rPr>
        <w:t/>
      </w:r>
      <w:r w:rsidRPr="008C23F3">
        <w:rPr>
          <w:rFonts w:cs="Arial"/>
          <w:lang w:val="en-CA"/>
        </w:rPr>
        <w:t xml:space="preserve"/>
      </w:r>
      <w:r w:rsidR="00713081">
        <w:rPr>
          <w:rFonts w:cs="Arial"/>
          <w:lang w:val="en-CA"/>
        </w:rPr>
        <w:t/>
      </w:r>
      <w:r w:rsidRPr="008C23F3">
        <w:rPr>
          <w:rFonts w:cs="Arial"/>
          <w:lang w:val="en-CA"/>
        </w:rPr>
        <w:t xml:space="preserve"/>
      </w:r>
      <w:r w:rsidR="003F38E8">
        <w:rPr>
          <w:rFonts w:cs="Arial"/>
          <w:lang w:val="en-CA"/>
        </w:rPr>
        <w:t/>
      </w:r>
      <w:r w:rsidRPr="008C23F3">
        <w:rPr>
          <w:rFonts w:cs="Arial"/>
          <w:lang w:val="en-CA"/>
        </w:rPr>
        <w:t xml:space="preserve"/>
      </w:r>
      <w:r w:rsidR="00F83BFA">
        <w:rPr>
          <w:rFonts w:cs="Arial"/>
          <w:lang w:val="en-CA"/>
        </w:rPr>
        <w:t xml:space="preserve"/>
      </w:r>
      <w:r w:rsidR="007A45EB">
        <w:rPr>
          <w:rFonts w:cs="Arial"/>
          <w:lang w:val="en-CA"/>
        </w:rPr>
        <w:t xml:space="preserve"/>
      </w:r>
      <w:r w:rsidR="00285B84">
        <w:rPr>
          <w:rFonts w:cs="Arial"/>
          <w:lang w:val="en-CA"/>
        </w:rPr>
        <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Diversité, équité et inclusion</w:t>
      </w:r>
      <w:r w:rsidR="003618E8" w:rsidRPr="00384320">
        <w:rPr>
          <w:rFonts w:cs="Arial"/>
          <w:i/>
          <w:iCs/>
        </w:rPr>
        <w:t/>
      </w:r>
      <w:r w:rsidR="00384320">
        <w:rPr>
          <w:rFonts w:cs="Arial"/>
          <w:i/>
          <w:iCs/>
        </w:rPr>
        <w:t/>
      </w:r>
      <w:r w:rsidRPr="00384320">
        <w:rPr>
          <w:rFonts w:cs="Arial"/>
          <w:i/>
          <w:iCs/>
        </w:rPr>
        <w:t xml:space="preserve"/>
      </w:r>
      <w:r w:rsidR="003618E8" w:rsidRPr="00384320">
        <w:rPr>
          <w:rFonts w:cs="Arial"/>
          <w:i/>
          <w:iCs/>
        </w:rPr>
        <w:t/>
      </w:r>
      <w:r w:rsidRPr="00384320">
        <w:rPr>
          <w:rFonts w:cs="Arial"/>
          <w:i/>
          <w:iCs/>
        </w:rPr>
        <w:t xml:space="preserve"/>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adopte des pratiques d’embauche proactives malgré la taille réduite de son équipe. La diversité de genres est fortement présente au sein de son conseil d’administration, avec plus de 50 % de femmes, et de son équipe de direction, composée d’un tiers de femmes, y compris sa présidente-directrice générale. CDEV a investi dans la professionnalisation et la modernisation de la gestion des ressources humaines, incluant la gestion des connaissances et le développement professionnel au moyen de sessions mensuelles « Lunch &amp; Learn », ainsi qu’une sensibilisation accrue aux questions et opportunités en matière de diversité et d’inclusion. Par exemple, CDEV a marqué la Journée nationale de la vérité et de la réconciliation par une session éducative sur la signification de la Journée du chandail orange. Comme mentionné précédemment, CDEV a également publié son rapport d’étape sur son plan d’accessibilité et offert des formations sur les questions liées à l’accessibilité. CDEV continuera de bâtir un environnement de travail diversifié et inclusif, car elle considère que la diversité des origines, des compétences, des expériences et des perspectives de son personnel est essentielle à son succès et à sa capacité d’attirer et de fidéliser des talents de premier plan. Les filiales de CDEV suivent des processus similaires; des détails peuvent être trouvés dans leurs plans d’entreprise respectifs. Pour TMC, des informations supplémentaires sont disponibles dans son rapport ESG.</w:t>
      </w:r>
      <w:r w:rsidR="007E33C1">
        <w:rPr>
          <w:rFonts w:cs="Arial"/>
          <w:bCs/>
          <w:iCs/>
        </w:rPr>
        <w:t/>
      </w:r>
      <w:r w:rsidRPr="007E33C1">
        <w:rPr>
          <w:rFonts w:cs="Arial"/>
          <w:bCs/>
          <w:iCs/>
        </w:rPr>
        <w:t xml:space="preserve"/>
      </w:r>
      <w:r w:rsidR="007E33C1">
        <w:rPr>
          <w:rFonts w:cs="Arial"/>
          <w:bCs/>
          <w:iCs/>
        </w:rPr>
        <w:t/>
      </w:r>
      <w:r w:rsidRPr="007E33C1">
        <w:rPr>
          <w:rFonts w:cs="Arial"/>
          <w:bCs/>
          <w:iCs/>
        </w:rPr>
        <w:t xml:space="preserve"/>
      </w:r>
      <w:r w:rsidR="007E33C1">
        <w:rPr>
          <w:rFonts w:cs="Arial"/>
          <w:bCs/>
          <w:iCs/>
        </w:rPr>
        <w:t/>
      </w:r>
      <w:r w:rsidRPr="007E33C1">
        <w:rPr>
          <w:rFonts w:cs="Arial"/>
          <w:bCs/>
          <w:iCs/>
        </w:rPr>
        <w:t xml:space="preserve"/>
      </w:r>
      <w:r w:rsidR="007E33C1">
        <w:rPr>
          <w:rFonts w:cs="Arial"/>
          <w:bCs/>
          <w:iCs/>
        </w:rPr>
        <w:t/>
      </w:r>
      <w:r w:rsidRPr="007E33C1">
        <w:rPr>
          <w:rFonts w:cs="Arial"/>
          <w:bCs/>
          <w:iCs/>
        </w:rPr>
        <w:t xml:space="preserve"/>
      </w:r>
      <w:r w:rsidR="007E33C1">
        <w:rPr>
          <w:rFonts w:cs="Arial"/>
          <w:bCs/>
          <w:iCs/>
        </w:rPr>
        <w:t/>
      </w:r>
      <w:r w:rsidRPr="007E33C1">
        <w:rPr>
          <w:rFonts w:cs="Arial"/>
          <w:bCs/>
          <w:iCs/>
        </w:rPr>
        <w:t xml:space="preserve"/>
      </w:r>
      <w:r w:rsidR="006F3062">
        <w:rPr>
          <w:rFonts w:cs="Arial"/>
          <w:bCs/>
          <w:iCs/>
        </w:rPr>
        <w:t xml:space="preserve"/>
      </w:r>
      <w:r w:rsidRPr="007E33C1">
        <w:rPr>
          <w:rFonts w:cs="Arial"/>
          <w:bCs/>
          <w:iCs/>
        </w:rPr>
        <w:t xml:space="preserve"/>
      </w:r>
      <w:r w:rsidR="006F3062">
        <w:rPr>
          <w:rFonts w:cs="Arial"/>
          <w:bCs/>
          <w:iCs/>
        </w:rPr>
        <w:t/>
      </w:r>
      <w:r w:rsidRPr="007E33C1">
        <w:rPr>
          <w:rFonts w:cs="Arial"/>
          <w:bCs/>
          <w:iCs/>
        </w:rPr>
        <w:t xml:space="preserve"/>
      </w:r>
      <w:r w:rsidR="006F3062">
        <w:rPr>
          <w:rFonts w:cs="Arial"/>
          <w:bCs/>
          <w:iCs/>
        </w:rPr>
        <w:t/>
      </w:r>
      <w:r w:rsidRPr="007E33C1">
        <w:rPr>
          <w:rFonts w:cs="Arial"/>
          <w:bCs/>
          <w:iCs/>
        </w:rPr>
        <w:t xml:space="preserve"/>
      </w:r>
      <w:r w:rsidRPr="007E33C1">
        <w:rPr>
          <w:rFonts w:ascii="Cambria Math" w:hAnsi="Cambria Math" w:cs="Cambria Math"/>
          <w:bCs/>
          <w:iCs/>
        </w:rPr>
        <w:t/>
      </w:r>
      <w:r w:rsidRPr="007E33C1">
        <w:rPr>
          <w:rFonts w:cs="Arial"/>
          <w:bCs/>
          <w:iCs/>
        </w:rPr>
        <w:t xml:space="preserve"/>
      </w:r>
      <w:r w:rsidR="00691EE7">
        <w:rPr>
          <w:rFonts w:cs="Arial"/>
          <w:bCs/>
          <w:iCs/>
        </w:rPr>
        <w:t/>
      </w:r>
      <w:r w:rsidRPr="007E33C1">
        <w:rPr>
          <w:rFonts w:cs="Arial"/>
          <w:bCs/>
          <w:iCs/>
        </w:rPr>
        <w:t xml:space="preserve"/>
      </w:r>
      <w:r w:rsidR="00691EE7">
        <w:rPr>
          <w:rFonts w:cs="Arial"/>
          <w:bCs/>
          <w:iCs/>
        </w:rPr>
        <w:t/>
      </w:r>
      <w:r w:rsidRPr="007E33C1">
        <w:rPr>
          <w:rFonts w:cs="Arial"/>
          <w:bCs/>
          <w:iCs/>
        </w:rPr>
        <w:t xml:space="preserve"/>
      </w:r>
      <w:r w:rsidR="00691EE7">
        <w:rPr>
          <w:rFonts w:cs="Arial"/>
          <w:bCs/>
          <w:iCs/>
        </w:rPr>
        <w:t/>
      </w:r>
      <w:r w:rsidRPr="007E33C1">
        <w:rPr>
          <w:rFonts w:cs="Arial"/>
          <w:bCs/>
          <w:iCs/>
        </w:rPr>
        <w:t xml:space="preserve"/>
      </w:r>
      <w:r w:rsidR="00691EE7">
        <w:rPr>
          <w:rFonts w:cs="Arial"/>
          <w:bCs/>
          <w:iCs/>
        </w:rPr>
        <w:t/>
      </w:r>
      <w:r w:rsidRPr="007E33C1">
        <w:rPr>
          <w:rFonts w:cs="Arial"/>
          <w:bCs/>
          <w:iCs/>
        </w:rPr>
        <w:t xml:space="preserve"/>
      </w:r>
      <w:r w:rsidR="00691EE7">
        <w:rPr>
          <w:rFonts w:cs="Arial"/>
          <w:bCs/>
          <w:iCs/>
        </w:rPr>
        <w:t/>
      </w:r>
      <w:r w:rsidRPr="007E33C1">
        <w:rPr>
          <w:rFonts w:cs="Arial"/>
          <w:bCs/>
          <w:iCs/>
        </w:rPr>
        <w:t xml:space="preserve"/>
      </w:r>
      <w:r w:rsidR="00803C92">
        <w:rPr>
          <w:rFonts w:cs="Arial"/>
          <w:bCs/>
          <w:iCs/>
        </w:rPr>
        <w:t/>
      </w:r>
      <w:r w:rsidR="004346AE">
        <w:rPr>
          <w:rFonts w:cs="Arial"/>
          <w:bCs/>
          <w:iCs/>
        </w:rPr>
        <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commencé à travailler avec ses filiales pour garantir que ses activités se déroulent conformément à la Loi sur la lutte contre le travail forcé et le travail des enfants dans les chaînes d’approvisionnement, lorsque cela est pertinent. À cet égard, CHHC a publié son premier rapport sur cette question en mai 2024.</w:t>
      </w:r>
      <w:r w:rsidR="00DF0FB8">
        <w:rPr>
          <w:rFonts w:cs="Arial"/>
          <w:bCs/>
          <w:iCs/>
        </w:rPr>
        <w:t xml:space="preserve"/>
      </w:r>
      <w:r w:rsidRPr="007E33C1">
        <w:rPr>
          <w:rFonts w:cs="Arial"/>
          <w:bCs/>
          <w:iCs/>
        </w:rPr>
        <w:t xml:space="preserve"/>
      </w:r>
      <w:r w:rsidR="00DF0FB8">
        <w:rPr>
          <w:rFonts w:cs="Arial"/>
          <w:bCs/>
          <w:iCs/>
        </w:rPr>
        <w:t xml:space="preserve"/>
      </w:r>
      <w:r w:rsidRPr="007E33C1">
        <w:rPr>
          <w:rFonts w:cs="Arial"/>
          <w:bCs/>
          <w:iCs/>
        </w:rPr>
        <w:t xml:space="preserve"/>
      </w:r>
      <w:proofErr w:type="spellStart"/>
      <w:r w:rsidRPr="007E33C1">
        <w:rPr>
          <w:rFonts w:cs="Arial"/>
          <w:bCs/>
          <w:iCs/>
        </w:rPr>
        <w:t/>
      </w:r>
      <w:proofErr w:type="spellEnd"/>
      <w:r w:rsidRPr="007E33C1">
        <w:rPr>
          <w:rFonts w:cs="Arial"/>
          <w:bCs/>
          <w:iCs/>
        </w:rPr>
        <w:t xml:space="preserve"/>
      </w:r>
      <w:proofErr w:type="spellStart"/>
      <w:r w:rsidRPr="007E33C1">
        <w:rPr>
          <w:rFonts w:cs="Arial"/>
          <w:bCs/>
          <w:iCs/>
        </w:rPr>
        <w:t/>
      </w:r>
      <w:proofErr w:type="spellEnd"/>
      <w:r w:rsidRPr="007E33C1">
        <w:rPr>
          <w:rFonts w:cs="Arial"/>
          <w:bCs/>
          <w:iCs/>
        </w:rPr>
        <w:t xml:space="preserve"/>
      </w:r>
      <w:r w:rsidRPr="00E61D8A">
        <w:rPr>
          <w:rFonts w:cs="Arial"/>
          <w:bCs/>
          <w:iCs/>
        </w:rPr>
        <w:t/>
      </w:r>
      <w:r w:rsidR="0053122D" w:rsidRPr="00E61D8A">
        <w:rPr>
          <w:rFonts w:cs="Arial"/>
          <w:bCs/>
          <w:iCs/>
        </w:rPr>
        <w:t xml:space="preserve"/>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Lutte contre le harcèlement</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s’engage à maintenir un environnement de travail sain, exempt de harcèlement et de violence pour l’ensemble de ses employés. Elle a élaboré une politique d’entreprise visant à prévenir et à répondre aux incidents de harcèlement et de violence en milieu de travail, ainsi qu’à traiter efficacement tout incident qui pourrait survenir.</w:t>
      </w:r>
      <w:proofErr w:type="gramStart"/>
      <w:r w:rsidRPr="00E61D8A">
        <w:rPr>
          <w:rFonts w:asciiTheme="minorHAnsi" w:hAnsiTheme="minorHAnsi" w:cs="Arial"/>
          <w:szCs w:val="24"/>
        </w:rPr>
        <w:t/>
      </w:r>
      <w:proofErr w:type="gramEnd"/>
      <w:r w:rsidRPr="00E61D8A">
        <w:rPr>
          <w:rFonts w:asciiTheme="minorHAnsi" w:hAnsiTheme="minorHAnsi" w:cs="Arial"/>
          <w:szCs w:val="24"/>
        </w:rPr>
        <w:t xml:space="preserve"/>
      </w:r>
      <w:r w:rsidR="00973693">
        <w:rPr>
          <w:rFonts w:asciiTheme="minorHAnsi" w:hAnsiTheme="minorHAnsi" w:cs="Arial"/>
          <w:szCs w:val="24"/>
        </w:rPr>
        <w:t/>
      </w:r>
      <w:r w:rsidR="00E61D8A" w:rsidRPr="00E61D8A">
        <w:rPr>
          <w:rFonts w:asciiTheme="minorHAnsi" w:hAnsiTheme="minorHAnsi" w:cs="Arial"/>
          <w:szCs w:val="24"/>
        </w:rPr>
        <w:t xml:space="preserve"/>
      </w:r>
      <w:r w:rsidRPr="00E61D8A">
        <w:rPr>
          <w:rFonts w:asciiTheme="minorHAnsi" w:hAnsiTheme="minorHAnsi" w:cs="Arial"/>
          <w:szCs w:val="24"/>
        </w:rPr>
        <w:t xml:space="preserve"/>
      </w:r>
      <w:r w:rsidR="00E61D8A" w:rsidRPr="00E61D8A">
        <w:rPr>
          <w:rFonts w:asciiTheme="minorHAnsi" w:hAnsiTheme="minorHAnsi" w:cs="Arial"/>
          <w:szCs w:val="24"/>
        </w:rPr>
        <w:t xml:space="preserve"/>
      </w:r>
      <w:r w:rsidRPr="00E61D8A">
        <w:rPr>
          <w:rFonts w:asciiTheme="minorHAnsi" w:hAnsiTheme="minorHAnsi" w:cs="Arial"/>
        </w:rPr>
        <w:t xml:space="preserve"/>
      </w:r>
      <w:proofErr w:type="gramStart"/>
      <w:r w:rsidRPr="00E61D8A">
        <w:rPr>
          <w:rFonts w:asciiTheme="minorHAnsi" w:hAnsiTheme="minorHAnsi" w:cs="Arial"/>
        </w:rPr>
        <w:t/>
      </w:r>
      <w:r w:rsidR="00E61D8A" w:rsidRPr="00E61D8A">
        <w:rPr>
          <w:rFonts w:asciiTheme="minorHAnsi" w:hAnsiTheme="minorHAnsi" w:cs="Arial"/>
        </w:rPr>
        <w:t/>
      </w:r>
      <w:r w:rsidRPr="00E61D8A">
        <w:rPr>
          <w:rFonts w:asciiTheme="minorHAnsi" w:hAnsiTheme="minorHAnsi" w:cs="Arial"/>
        </w:rPr>
        <w:t xml:space="preserve"/>
      </w:r>
      <w:proofErr w:type="gramEnd"/>
      <w:r w:rsidR="00E61D8A" w:rsidRPr="00E61D8A">
        <w:rPr>
          <w:rFonts w:asciiTheme="minorHAnsi" w:hAnsiTheme="minorHAnsi" w:cs="Arial"/>
        </w:rPr>
        <w:t xml:space="preserve"/>
      </w:r>
      <w:r w:rsidRPr="00E61D8A">
        <w:rPr>
          <w:rFonts w:asciiTheme="minorHAnsi" w:hAnsiTheme="minorHAnsi" w:cs="Arial"/>
        </w:rPr>
        <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La communication entre CDEV et le public est assurée au moyen de diverses publications telles que le Plan d’entreprise approuvé par le conseil, le Sommaire du plan d’entreprise, les rapports financiers intérimaires, le Rapport annuel, et le rapport de divulgation financière liée au climat, ainsi que par l’intermédiaire du site web corporatif, de LinkedIn et d’une réunion publique annuelle.</w:t>
      </w:r>
      <w:r>
        <w:rPr>
          <w:rFonts w:cs="Arial"/>
        </w:rPr>
        <w:t/>
      </w:r>
      <w:r w:rsidRPr="0014644C">
        <w:rPr>
          <w:rFonts w:cs="Arial"/>
        </w:rPr>
        <w:t xml:space="preserve"/>
      </w:r>
      <w:r w:rsidRPr="0014644C">
        <w:rPr>
          <w:rFonts w:ascii="Cambria Math" w:hAnsi="Cambria Math" w:cs="Cambria Math"/>
        </w:rPr>
        <w:t/>
      </w:r>
      <w:r w:rsidRPr="0014644C">
        <w:rPr>
          <w:rFonts w:cs="Arial"/>
        </w:rPr>
        <w:t xml:space="preserve"/>
      </w:r>
      <w:r w:rsidRPr="00384320">
        <w:rPr>
          <w:rFonts w:cs="Arial"/>
        </w:rPr>
        <w:t/>
      </w:r>
      <w:r w:rsidRPr="00384320">
        <w:rPr>
          <w:rFonts w:ascii="Cambria Math" w:hAnsi="Cambria Math" w:cs="Cambria Math"/>
        </w:rPr>
        <w:t/>
      </w:r>
      <w:r w:rsidRPr="00384320">
        <w:rPr>
          <w:rFonts w:cs="Arial"/>
        </w:rPr>
        <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Les divulgations supplémentaires comprennent des rapports sur les examens spéciaux et les audits, les dépenses de voyage et d’accueil des cadres et des administrateurs, ainsi que les demandes en vertu de la Loi sur l’accès à l’information. CDEV répond aux demandes du public et aux requêtes des médias en temps opportun et remplit également divers types de sondages, conformément à ses obligations en tant que société d’État, tels que l’enquête annuelle sur les langues officielles, le rapport annuel sur l'application de la Loi sur le multiculturalisme canadien et l’enquête annuelle sur les biens et services environnementaux.</w:t>
      </w:r>
      <w:r w:rsidR="001B0271" w:rsidRPr="00384320">
        <w:rPr>
          <w:rFonts w:cs="Arial"/>
        </w:rPr>
        <w:t xml:space="preserve"/>
      </w:r>
      <w:r w:rsidR="0061020E" w:rsidRPr="00384320">
        <w:rPr>
          <w:rFonts w:cs="Arial"/>
        </w:rPr>
        <w:t xml:space="preserve"/>
      </w:r>
      <w:r w:rsidR="00874C70" w:rsidRPr="00384320">
        <w:rPr>
          <w:rFonts w:cs="Arial"/>
        </w:rPr>
        <w:t xml:space="preserve"/>
      </w:r>
      <w:r w:rsidR="00580D9C" w:rsidRPr="00384320">
        <w:rPr>
          <w:rFonts w:cs="Arial"/>
        </w:rPr>
        <w:t xml:space="preserve"/>
      </w:r>
      <w:r w:rsidR="00580D9C" w:rsidRPr="00384320">
        <w:rPr>
          <w:rFonts w:cs="Arial"/>
          <w:i/>
        </w:rPr>
        <w:t/>
      </w:r>
      <w:r w:rsidR="00580D9C" w:rsidRPr="00384320">
        <w:rPr>
          <w:rFonts w:cs="Arial"/>
        </w:rPr>
        <w:t xml:space="preserve"/>
      </w:r>
      <w:r w:rsidR="003F7E15" w:rsidRPr="00384320">
        <w:rPr>
          <w:rFonts w:cs="Arial"/>
        </w:rPr>
        <w:t xml:space="preserve"/>
      </w:r>
      <w:proofErr w:type="gramStart"/>
      <w:r w:rsidR="004D6922" w:rsidRPr="00384320">
        <w:rPr>
          <w:rFonts w:cs="Arial"/>
        </w:rPr>
        <w:t/>
      </w:r>
      <w:proofErr w:type="gramEnd"/>
      <w:r w:rsidR="004D6922" w:rsidRPr="00384320">
        <w:rPr>
          <w:rFonts w:cs="Arial"/>
        </w:rPr>
        <w:t xml:space="preserve"/>
      </w:r>
      <w:r w:rsidR="0064304C" w:rsidRPr="00384320">
        <w:rPr>
          <w:rFonts w:cs="Arial"/>
        </w:rPr>
        <w:t/>
      </w:r>
      <w:r w:rsidR="00A4650E" w:rsidRPr="00384320">
        <w:rPr>
          <w:rFonts w:cs="Arial"/>
        </w:rPr>
        <w:t/>
      </w:r>
      <w:r w:rsidR="0064304C" w:rsidRPr="00384320">
        <w:rPr>
          <w:rFonts w:cs="Arial"/>
        </w:rPr>
        <w:t xml:space="preserve"/>
      </w:r>
      <w:r w:rsidR="00A4650E" w:rsidRPr="00384320">
        <w:rPr>
          <w:rFonts w:cs="Arial"/>
        </w:rPr>
        <w:t xml:space="preserve"/>
      </w:r>
      <w:r w:rsidR="00D10539" w:rsidRPr="00384320">
        <w:rPr>
          <w:rFonts w:cs="Arial"/>
        </w:rPr>
        <w:t/>
      </w:r>
      <w:r w:rsidR="00015A2E" w:rsidRPr="00384320">
        <w:rPr>
          <w:rFonts w:cs="Arial"/>
        </w:rPr>
        <w:t xml:space="preserve"/>
      </w:r>
      <w:r w:rsidR="00D10539" w:rsidRPr="00384320">
        <w:rPr>
          <w:rFonts w:cs="Arial"/>
        </w:rPr>
        <w:t xml:space="preserve"/>
      </w:r>
      <w:r w:rsidR="00A4650E" w:rsidRPr="00384320">
        <w:rPr>
          <w:rFonts w:cs="Arial"/>
        </w:rPr>
        <w:t xml:space="preserve"/>
      </w:r>
      <w:r w:rsidR="00384320" w:rsidRPr="00384320">
        <w:rPr>
          <w:rFonts w:cs="Arial"/>
        </w:rPr>
        <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Par nature de son mandat, CDEV a toujours fait preuve d’une grande rigueur en matière de gouvernance, dirigée par un conseil d’administration indépendant, ainsi que par des conseils indépendants au niveau des filiales. Comme mentionné précédemment, le conseil d’administration de CDEV encadre et supervise la conduite des activités et des affaires de CDEV, tout en exerçant son jugement indépendant pour renforcer la gestion et la responsabilité.</w:t>
      </w:r>
      <w:r w:rsidR="00265988">
        <w:rPr>
          <w:rFonts w:cs="Arial"/>
        </w:rPr>
        <w:t/>
      </w:r>
      <w:r>
        <w:rPr>
          <w:rFonts w:cs="Arial"/>
        </w:rPr>
        <w:t xml:space="preserve"/>
      </w:r>
      <w:r w:rsidR="00580D9C" w:rsidRPr="000432F8">
        <w:rPr>
          <w:rFonts w:cs="Arial"/>
        </w:rPr>
        <w:t xml:space="preserve"/>
      </w:r>
      <w:r w:rsidR="00E80199">
        <w:rPr>
          <w:rFonts w:cs="Arial"/>
        </w:rPr>
        <w:t/>
      </w:r>
      <w:r w:rsidR="00580D9C" w:rsidRPr="000432F8">
        <w:rPr>
          <w:rFonts w:cs="Arial"/>
        </w:rPr>
        <w:t xml:space="preserve"/>
      </w:r>
      <w:r w:rsidR="00B153A9">
        <w:rPr>
          <w:rFonts w:cs="Arial"/>
        </w:rPr>
        <w:t/>
      </w:r>
      <w:r w:rsidR="00153026">
        <w:rPr>
          <w:rFonts w:cs="Arial"/>
        </w:rPr>
        <w:t xml:space="preserve"/>
      </w:r>
      <w:r w:rsidR="008C529E">
        <w:rPr>
          <w:rFonts w:cs="Arial"/>
        </w:rPr>
        <w:t/>
      </w:r>
      <w:r w:rsidR="00580D9C" w:rsidRPr="000432F8">
        <w:rPr>
          <w:rFonts w:cs="Arial"/>
        </w:rPr>
        <w:t xml:space="preserve"/>
      </w:r>
      <w:r w:rsidR="008C529E">
        <w:rPr>
          <w:rFonts w:cs="Arial"/>
        </w:rPr>
        <w:t/>
      </w:r>
      <w:r w:rsidR="00BB6054">
        <w:rPr>
          <w:rFonts w:cs="Arial"/>
        </w:rPr>
        <w:t xml:space="preserve"/>
      </w:r>
      <w:r w:rsidR="00580D9C" w:rsidRPr="000432F8">
        <w:rPr>
          <w:rFonts w:cs="Arial"/>
        </w:rPr>
        <w:t/>
      </w:r>
      <w:r w:rsidR="00BB6054">
        <w:rPr>
          <w:rFonts w:cs="Arial"/>
        </w:rPr>
        <w:t/>
      </w:r>
      <w:r w:rsidR="00580D9C" w:rsidRPr="000432F8">
        <w:rPr>
          <w:rFonts w:cs="Arial"/>
        </w:rPr>
        <w:t/>
      </w:r>
      <w:r w:rsidR="00E07AD5">
        <w:rPr>
          <w:rFonts w:cs="Arial"/>
        </w:rPr>
        <w:t xml:space="preserve"/>
      </w:r>
      <w:r w:rsidR="00265988">
        <w:rPr>
          <w:rFonts w:cs="Arial"/>
        </w:rPr>
        <w:t xml:space="preserve"/>
      </w:r>
      <w:r w:rsidR="00E07AD5" w:rsidRPr="00E07AD5">
        <w:rPr>
          <w:rFonts w:cs="Arial"/>
        </w:rPr>
        <w:t/>
      </w:r>
      <w:r w:rsidR="00FD03DF">
        <w:rPr>
          <w:rFonts w:cs="Arial"/>
        </w:rPr>
        <w:t xml:space="preserve"/>
      </w:r>
      <w:r w:rsidR="00580D9C" w:rsidRPr="000432F8">
        <w:rPr>
          <w:rFonts w:cs="Arial"/>
        </w:rPr>
        <w:t/>
      </w:r>
      <w:r w:rsidR="00E07280">
        <w:rPr>
          <w:rFonts w:cs="Arial"/>
        </w:rPr>
        <w:t/>
      </w:r>
      <w:r w:rsidR="00580D9C" w:rsidRPr="000432F8">
        <w:rPr>
          <w:rFonts w:cs="Arial"/>
        </w:rPr>
        <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conseil d’administration de CDEV entretient une relation de travail efficace avec la direction de CDEV. La répartition des responsabilités entre le conseil et la direction est revue régulièrement. Une charte du conseil d’administration a été adoptée pour définir les rôles et responsabilités, principalement en termes de gouvernance du conseil. Le conseil examine et approuve les politiques de la Corporation.</w:t>
      </w:r>
      <w:r>
        <w:rPr>
          <w:rFonts w:cs="Arial"/>
        </w:rPr>
        <w:t xml:space="preserve"/>
      </w:r>
      <w:r w:rsidRPr="00FD03DF">
        <w:rPr>
          <w:rFonts w:cs="Arial"/>
        </w:rPr>
        <w:t/>
      </w:r>
      <w:r w:rsidRPr="00FD03DF">
        <w:rPr>
          <w:rFonts w:ascii="Aptos" w:hAnsi="Aptos" w:cs="Aptos"/>
        </w:rPr>
        <w:t/>
      </w:r>
      <w:r w:rsidRPr="00FD03DF">
        <w:rPr>
          <w:rFonts w:cs="Arial"/>
        </w:rPr>
        <w:t xml:space="preserve"/>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se conformer à la Loi sur la gestion financière des sociétés fédérales (FAA) à travers ses processus de rapport et d’exploitation, CDEV applique des procédures pour garantir le respect de toutes les lois pertinentes. Les plus importantes sont discutées ci-dessous.</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 importantes pour CDEV, y compris pour TMC, étaient :</w:t>
      </w:r>
      <w:r w:rsidR="00526104">
        <w:rPr>
          <w:rFonts w:cs="Arial"/>
        </w:rPr>
        <w:t/>
      </w:r>
      <w:r w:rsidRPr="00526104">
        <w:rPr>
          <w:rFonts w:cs="Arial"/>
        </w:rPr>
        <w:t xml:space="preserve"/>
      </w:r>
      <w:r w:rsidR="00526104">
        <w:rPr>
          <w:rFonts w:cs="Arial"/>
        </w:rPr>
        <w:t/>
      </w:r>
      <w:r w:rsidRPr="00526104">
        <w:rPr>
          <w:rFonts w:cs="Arial"/>
        </w:rPr>
        <w:t xml:space="preserve"/>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et sécurité informatique</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CDEV fait appel à un prestataire externe pour gérer ses besoins informatiques, notamment en matière de fonctionnalité des ordinateurs, de gestion des serveurs de fichiers et de système de messagerie. Le prestataire gère les ordinateurs de CDEV et veille à la surveillance et à la mise à jour des outils de détection et de réponse gérés, des correctifs de sécurité et des antivirus selon les besoins. De nouvelles mesures de sécurité sont mises en place dès qu’elles deviennent disponibles.</w:t>
      </w:r>
      <w:r w:rsidR="00D929B1" w:rsidRPr="002E6907">
        <w:rPr>
          <w:rFonts w:cs="Arial"/>
          <w:iCs/>
        </w:rPr>
        <w:t xml:space="preserve"/>
      </w:r>
      <w:r w:rsidR="004D5F04" w:rsidRPr="002E6907">
        <w:rPr>
          <w:rFonts w:cs="Arial"/>
          <w:iCs/>
        </w:rPr>
        <w:t xml:space="preserve"/>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de l’entreprise est protégé par des politiques de mot de passe actives et surveillées, mises en œuvre et contrôlées centralement sur tous les ordinateurs et portables, ainsi que par des protocoles de sécurité pour les téléphones mobiles. Le système de messagerie utilise les services Microsoft Office 365, incluant une sauvegarde en temps réel. CDEV effectue également des copies de ses courriels à des fins de sauvegarde, lesquelles sont conservées en lieu sûr. La plateforme Office 365 est protégée par un processus d’authentification multifactorielle pour les utilisateurs.</w:t>
      </w:r>
      <w:r w:rsidR="00A36F3C" w:rsidRPr="002E6907">
        <w:rPr>
          <w:rFonts w:cs="Arial"/>
          <w:iCs/>
        </w:rPr>
        <w:t xml:space="preserve"/>
      </w:r>
      <w:r w:rsidR="00A36F3C" w:rsidRPr="002E6907">
        <w:rPr>
          <w:rFonts w:cs="Arial"/>
          <w:iCs/>
        </w:rPr>
        <w:lastRenderedPageBreak/>
        <w:t xml:space="preserve"/>
      </w:r>
      <w:r w:rsidR="005C1C97" w:rsidRPr="002E6907">
        <w:rPr>
          <w:rFonts w:cs="Arial"/>
          <w:iCs/>
        </w:rPr>
        <w:t/>
      </w:r>
      <w:r w:rsidR="00A36F3C" w:rsidRPr="002E6907">
        <w:rPr>
          <w:rFonts w:cs="Arial"/>
          <w:iCs/>
        </w:rPr>
        <w:t xml:space="preserve"/>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s’engage à améliorer continuellement ses efficacités de travail internes et externes au quotidien, notamment par une analyse rigoureuse coût/bénéfice des principales catégories de dépenses, l’optimisation des voyages et le recours aux conseillers. CDEV a mis en œuvre un nouveau système de gestion des ressources humaines en ligne, renforcé son infrastructure de sécurité et amélioré le signalement et le suivi des incidents informatiques.</w:t>
      </w:r>
      <w:r w:rsidR="003B0FEC" w:rsidRPr="002E6907">
        <w:rPr>
          <w:rFonts w:cs="Arial"/>
          <w:iCs/>
        </w:rPr>
        <w:t xml:space="preserve"/>
      </w:r>
      <w:r w:rsidR="00A63275" w:rsidRPr="002E6907">
        <w:rPr>
          <w:rFonts w:cs="Arial"/>
          <w:color w:val="auto"/>
        </w:rPr>
        <w:t xml:space="preserve"/>
      </w:r>
      <w:r w:rsidR="007D54A8" w:rsidRPr="002E6907">
        <w:rPr>
          <w:rFonts w:cs="Arial"/>
          <w:color w:val="auto"/>
        </w:rPr>
        <w:t/>
      </w:r>
      <w:r w:rsidR="00A63275" w:rsidRPr="002E6907">
        <w:rPr>
          <w:rFonts w:cs="Arial"/>
          <w:color w:val="auto"/>
        </w:rPr>
        <w:t xml:space="preserve"/>
      </w:r>
      <w:r w:rsidR="00DB6EF8" w:rsidRPr="002E6907">
        <w:rPr>
          <w:rFonts w:cs="Arial"/>
          <w:color w:val="auto"/>
        </w:rPr>
        <w:t xml:space="preserve"/>
      </w:r>
      <w:r w:rsidR="00A63275" w:rsidRPr="002E6907">
        <w:rPr>
          <w:rFonts w:cs="Arial"/>
          <w:color w:val="auto"/>
        </w:rPr>
        <w:t/>
      </w:r>
      <w:r w:rsidR="00E80620" w:rsidRPr="002E6907">
        <w:rPr>
          <w:rFonts w:cs="Arial"/>
          <w:color w:val="auto"/>
        </w:rPr>
        <w:t xml:space="preserve"/>
      </w:r>
      <w:r w:rsidR="00A63275" w:rsidRPr="002E6907">
        <w:rPr>
          <w:rFonts w:cs="Arial"/>
          <w:color w:val="auto"/>
        </w:rPr>
        <w:t/>
      </w:r>
      <w:r w:rsidR="007778CD" w:rsidRPr="002E6907">
        <w:rPr>
          <w:rFonts w:cs="Arial"/>
          <w:color w:val="auto"/>
        </w:rPr>
        <w:t xml:space="preserve"/>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en permanence à renforcer et à sécuriser son environnement technologique pour contrer le risque croissant de cybercriminalité. À cet effet, plusieurs outils et évaluations du réseau ont été réalisés afin d’assurer la résilience et la sécurité de la plateforme. Ces examens incluent des analyses du comportement et de la sensibilisation des utilisateurs, souvent vulnérables et exploités comme points d’entrée.</w:t>
      </w:r>
      <w:r w:rsidR="005C72E5" w:rsidRPr="008A62FB">
        <w:rPr>
          <w:rFonts w:cs="Arial"/>
          <w:color w:val="auto"/>
        </w:rPr>
        <w:t/>
      </w:r>
      <w:r w:rsidRPr="008A62FB">
        <w:rPr>
          <w:rFonts w:cs="Arial"/>
          <w:color w:val="auto"/>
        </w:rPr>
        <w:t xml:space="preserve"/>
      </w:r>
      <w:r w:rsidR="005C72E5" w:rsidRPr="008A62FB">
        <w:rPr>
          <w:rFonts w:cs="Arial"/>
          <w:color w:val="auto"/>
        </w:rPr>
        <w:t/>
      </w:r>
      <w:r w:rsidRPr="008A62FB">
        <w:rPr>
          <w:rFonts w:cs="Arial"/>
          <w:color w:val="auto"/>
        </w:rPr>
        <w:t xml:space="preserve"/>
      </w:r>
      <w:proofErr w:type="spellStart"/>
      <w:r w:rsidRPr="008A62FB">
        <w:rPr>
          <w:rFonts w:cs="Arial"/>
          <w:color w:val="auto"/>
        </w:rPr>
        <w:t/>
      </w:r>
      <w:proofErr w:type="spellEnd"/>
      <w:r w:rsidRPr="008A62FB">
        <w:rPr>
          <w:rFonts w:cs="Arial"/>
          <w:color w:val="auto"/>
        </w:rPr>
        <w:t xml:space="preserve"/>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Une mise à jour majeure a été réalisée au cours de l’année passée avec la migration complète de la structure de serveurs de CDEV vers le cloud, ce qui permet de réduire les coûts des serveurs et d’augmenter les efficacités de travail, notamment le travail collaboratif via SharePoint.</w:t>
      </w:r>
      <w:r w:rsidR="004F2F24" w:rsidRPr="002E6907">
        <w:rPr>
          <w:rFonts w:cs="Arial"/>
          <w:color w:val="auto"/>
        </w:rPr>
        <w:t/>
      </w:r>
      <w:r w:rsidR="007612EA" w:rsidRPr="002E6907">
        <w:rPr>
          <w:rFonts w:cs="Arial"/>
          <w:color w:val="auto"/>
        </w:rPr>
        <w:t xml:space="preserve"/>
      </w:r>
      <w:r w:rsidR="00A63275" w:rsidRPr="002E6907">
        <w:rPr>
          <w:rFonts w:cs="Arial"/>
          <w:color w:val="auto"/>
        </w:rPr>
        <w:t/>
      </w:r>
      <w:r w:rsidR="00B543F4" w:rsidRPr="002E6907">
        <w:rPr>
          <w:rFonts w:cs="Arial"/>
          <w:color w:val="auto"/>
        </w:rPr>
        <w:t/>
      </w:r>
      <w:r w:rsidR="00A63275" w:rsidRPr="002E6907">
        <w:rPr>
          <w:rFonts w:cs="Arial"/>
          <w:color w:val="auto"/>
        </w:rPr>
        <w:t xml:space="preserve"/>
      </w:r>
      <w:r w:rsidR="00B543F4" w:rsidRPr="002E6907">
        <w:rPr>
          <w:rFonts w:cs="Arial"/>
          <w:color w:val="auto"/>
        </w:rPr>
        <w:t/>
      </w:r>
      <w:r w:rsidR="00A63275" w:rsidRPr="002E6907">
        <w:rPr>
          <w:rFonts w:cs="Arial"/>
          <w:color w:val="auto"/>
        </w:rPr>
        <w:t xml:space="preserve"/>
      </w:r>
      <w:r w:rsidR="009D2DE6" w:rsidRPr="002E6907">
        <w:rPr>
          <w:rFonts w:cs="Arial"/>
          <w:color w:val="auto"/>
        </w:rPr>
        <w:t xml:space="preserve"/>
      </w:r>
      <w:r w:rsidR="00A63275" w:rsidRPr="002E6907">
        <w:rPr>
          <w:rFonts w:cs="Arial"/>
          <w:color w:val="auto"/>
        </w:rPr>
        <w:t xml:space="preserve"/>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poursuit l’analyse de ses plateformes technologiques et identifie des opportunités pour rationaliser ou automatiser certains processus opérationnels, notamment dans les domaines de l’informatique et des finances, incluant la codification des factures, le traitement des dépenses ou l’utilisation de l’intelligence artificielle.</w:t>
      </w:r>
      <w:r w:rsidR="00A63275" w:rsidRPr="002E6907">
        <w:rPr>
          <w:rFonts w:cs="Arial"/>
          <w:color w:val="auto"/>
        </w:rPr>
        <w:t/>
      </w:r>
      <w:r w:rsidRPr="002E6907">
        <w:rPr>
          <w:rFonts w:cs="Arial"/>
          <w:color w:val="auto"/>
        </w:rPr>
        <w:t/>
      </w:r>
      <w:r w:rsidR="00A63275" w:rsidRPr="002E6907">
        <w:rPr>
          <w:rFonts w:cs="Arial"/>
          <w:color w:val="auto"/>
        </w:rPr>
        <w:t/>
      </w:r>
      <w:r w:rsidR="00A866D0" w:rsidRPr="002E6907">
        <w:rPr>
          <w:rFonts w:cs="Arial"/>
          <w:color w:val="auto"/>
        </w:rPr>
        <w:t xml:space="preserve"/>
      </w:r>
      <w:r w:rsidR="00A63275" w:rsidRPr="002E6907">
        <w:rPr>
          <w:rFonts w:cs="Arial"/>
          <w:color w:val="auto"/>
        </w:rPr>
        <w:t xml:space="preserve"/>
      </w:r>
      <w:r w:rsidRPr="002E6907">
        <w:rPr>
          <w:rFonts w:cs="Arial"/>
          <w:color w:val="auto"/>
        </w:rPr>
        <w:t/>
      </w:r>
      <w:r w:rsidR="00A63275" w:rsidRPr="002E6907">
        <w:rPr>
          <w:rFonts w:cs="Arial"/>
          <w:color w:val="auto"/>
        </w:rPr>
        <w:t xml:space="preserve"/>
      </w:r>
      <w:r w:rsidR="002E6907" w:rsidRPr="002E6907">
        <w:rPr>
          <w:rFonts w:cs="Arial"/>
          <w:color w:val="auto"/>
        </w:rPr>
        <w:t/>
      </w:r>
      <w:r w:rsidR="00A63275" w:rsidRPr="002E6907">
        <w:rPr>
          <w:rFonts w:cs="Arial"/>
          <w:color w:val="auto"/>
        </w:rPr>
        <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nécessaires à ses filiales CEEFC, TMP Finance et CEI. CDEV dispose d’une politique informatique et de directives utilisateur qui régissent son environnement IT.</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Chez TMC, les décisions salariales sont basées sur les performances professionnelles, l’examen de l’équité interne et une analyse du marché des salaires des employés dans des emplois similaires. Nous évaluons les écarts avec la Loi sur l’équité salariale et travaillons avec des consultants externes pour déterminer les prochaines étapes, notamment élaborer un plan d’équité salariale et constituer un comité à cet effet. Nous déposerons les déclarations et mettrons à jour notre plan d’équité salariale conformément à la loi.</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surveillent la législation et respecteront toutes les réglementations pertinentes à leur taille.</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dispose d’une personne expérimentée travaillant comme coordonnateur à temps partiel de l’accès à l’information et de la protection de la vie privée (ATIP), assistée par un analyste ATIP à temps partiel. Des sessions de formation et des rencontres avec d’autres bureaux ATIP sont suivies. De plus, nous sollicitons les services d’un professionnel ayant une expertise approfondie en ATIP pour fournir des conseils stratégiques et autres concernant les demandes complexes, afin de garantir la conformité de CDEV à la loi. TMC emploie également une personne pour gérer les demandes et les exigences de rapport ATIP. Cette fonction corporative est exigeante en ressources. Entre le 1er avril 2023 et le 31 mars 2024, 7 750 pages ont été examinées et traitées pour répondre aux demandes ATIP. Alors que le nombre de demandes augmente, nous ajusterons les ressources en conséquence. Étant donné la nature commerciale des activités de TMC et CEEFC, il est difficile de divulguer de nombreux documents sans d’importantes corrections.</w:t>
      </w:r>
      <w:r w:rsidR="009340C3">
        <w:rPr>
          <w:rFonts w:cs="Arial"/>
        </w:rPr>
        <w:t/>
      </w:r>
      <w:r w:rsidRPr="00F33FFE">
        <w:rPr>
          <w:rFonts w:cs="Arial"/>
        </w:rPr>
        <w:t xml:space="preserve"/>
      </w:r>
      <w:r w:rsidR="0078672D">
        <w:rPr>
          <w:rFonts w:cs="Arial"/>
        </w:rPr>
        <w:t/>
      </w:r>
      <w:r w:rsidRPr="00F33FFE">
        <w:rPr>
          <w:rFonts w:cs="Arial"/>
        </w:rPr>
        <w:t xml:space="preserve"/>
      </w:r>
      <w:r w:rsidR="00C72F80">
        <w:rPr>
          <w:rFonts w:cs="Arial"/>
        </w:rPr>
        <w:t xml:space="preserve"/>
      </w:r>
      <w:r w:rsidRPr="00F33FFE">
        <w:rPr>
          <w:rFonts w:cs="Arial"/>
        </w:rPr>
        <w:t xml:space="preserve"/>
      </w:r>
      <w:r w:rsidR="00334DCB">
        <w:rPr>
          <w:rFonts w:cs="Arial"/>
        </w:rPr>
        <w:t xml:space="preserve"/>
      </w:r>
      <w:r w:rsidR="00855050">
        <w:rPr>
          <w:rFonts w:cs="Arial"/>
        </w:rPr>
        <w:t xml:space="preserve"/>
      </w:r>
      <w:r w:rsidR="00D6181B">
        <w:rPr>
          <w:rFonts w:cs="Arial"/>
        </w:rPr>
        <w:t/>
      </w:r>
      <w:r w:rsidR="00CC15E4">
        <w:rPr>
          <w:rFonts w:cs="Arial"/>
        </w:rPr>
        <w:t xml:space="preserve"/>
      </w:r>
      <w:r w:rsidR="00CA30EF">
        <w:rPr>
          <w:rFonts w:cs="Arial"/>
        </w:rPr>
        <w:t/>
      </w:r>
      <w:r w:rsidR="00CC15E4">
        <w:rPr>
          <w:rFonts w:cs="Arial"/>
        </w:rPr>
        <w:t/>
      </w:r>
      <w:r w:rsidR="00CC15E4" w:rsidRPr="00CC15E4">
        <w:rPr>
          <w:rFonts w:cs="Arial"/>
          <w:vertAlign w:val="superscript"/>
        </w:rPr>
        <w:t/>
      </w:r>
      <w:r w:rsidR="00CC15E4">
        <w:rPr>
          <w:rFonts w:cs="Arial"/>
        </w:rPr>
        <w:t/>
      </w:r>
      <w:r w:rsidR="00CC15E4" w:rsidRPr="00CC15E4">
        <w:rPr>
          <w:rFonts w:cs="Arial"/>
          <w:vertAlign w:val="superscript"/>
        </w:rPr>
        <w:t/>
      </w:r>
      <w:r w:rsidR="00CC15E4">
        <w:rPr>
          <w:rFonts w:cs="Arial"/>
        </w:rPr>
        <w:t xml:space="preserve"/>
      </w:r>
      <w:r w:rsidR="00EB3195">
        <w:rPr>
          <w:rFonts w:cs="Arial"/>
        </w:rPr>
        <w:t/>
      </w:r>
      <w:r w:rsidR="009A1FFB">
        <w:rPr>
          <w:rFonts w:cs="Arial"/>
        </w:rPr>
        <w:t xml:space="preserve"/>
      </w:r>
      <w:r w:rsidR="009A1FFB">
        <w:rPr>
          <w:rFonts w:cs="Arial"/>
        </w:rPr>
        <w:lastRenderedPageBreak/>
        <w:t/>
      </w:r>
      <w:r w:rsidR="001F2086">
        <w:rPr>
          <w:rFonts w:cs="Arial"/>
        </w:rPr>
        <w:t xml:space="preserve"/>
      </w:r>
      <w:r w:rsidR="009A1FFB">
        <w:rPr>
          <w:rFonts w:cs="Arial"/>
        </w:rPr>
        <w:t xml:space="preserve"/>
      </w:r>
      <w:r w:rsidR="002D3141">
        <w:rPr>
          <w:rFonts w:cs="Arial"/>
        </w:rPr>
        <w:t/>
      </w:r>
      <w:r w:rsidR="001F2086">
        <w:rPr>
          <w:rFonts w:cs="Arial"/>
        </w:rPr>
        <w:t/>
      </w:r>
      <w:r w:rsidR="002D3141">
        <w:rPr>
          <w:rFonts w:cs="Arial"/>
        </w:rPr>
        <w:t xml:space="preserve"/>
      </w:r>
      <w:r w:rsidRPr="00F33FFE">
        <w:rPr>
          <w:rFonts w:cs="Arial"/>
        </w:rPr>
        <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(y compris CHHC, CEEFC, TMP Finance et CEI) dispose d’un code de conduite pour ses employés et ses administrateurs. Comme indiqué dans le Rapport de l’Auditeur général du Canada de 2024 sur les contrats de services professionnels publié le 4 juin 2024, CDEV a accepté la recommandation de l’Auditeur général concernant les conflits d’intérêts, et a mis à jour ses politiques et pratiques pertinentes en conséquence, afin de garantir la mise en place d’un processus proactif permettant d’identifier les conflits d’intérêts réels ou perçus.</w:t>
      </w:r>
      <w:r w:rsidR="00AF6B4D">
        <w:rPr>
          <w:rFonts w:cs="Arial"/>
        </w:rPr>
        <w:t/>
      </w:r>
      <w:r w:rsidR="00D6421C" w:rsidRPr="00D6421C">
        <w:rPr>
          <w:rFonts w:cs="Arial"/>
        </w:rPr>
        <w:t/>
      </w:r>
      <w:r w:rsidR="00387FBC">
        <w:rPr>
          <w:rFonts w:cs="Arial"/>
        </w:rPr>
        <w:t xml:space="preserve"/>
      </w:r>
      <w:r w:rsidR="00A67722">
        <w:rPr>
          <w:rFonts w:cs="Arial"/>
        </w:rPr>
        <w:t/>
      </w:r>
      <w:r w:rsidR="00D6421C" w:rsidRPr="00D6421C">
        <w:rPr>
          <w:rFonts w:cs="Arial"/>
        </w:rPr>
        <w:t/>
      </w:r>
      <w:r w:rsidR="00387FBC">
        <w:rPr>
          <w:rFonts w:cs="Arial"/>
        </w:rPr>
        <w:t xml:space="preserve"/>
      </w:r>
      <w:r w:rsidR="00606D03">
        <w:rPr>
          <w:rFonts w:cs="Arial"/>
        </w:rPr>
        <w:t xml:space="preserve"/>
      </w:r>
      <w:r w:rsidR="00387FBC">
        <w:rPr>
          <w:rFonts w:cs="Arial"/>
        </w:rPr>
        <w:t/>
      </w:r>
      <w:r w:rsidR="00D943AC">
        <w:rPr>
          <w:rFonts w:cs="Arial"/>
        </w:rPr>
        <w:t xml:space="preserve"/>
      </w:r>
      <w:r w:rsidR="00387FBC">
        <w:rPr>
          <w:rFonts w:cs="Arial"/>
        </w:rPr>
        <w:t/>
      </w:r>
      <w:r w:rsidR="00D943AC">
        <w:rPr>
          <w:rFonts w:cs="Arial"/>
        </w:rPr>
        <w:t xml:space="preserve"/>
      </w:r>
      <w:r w:rsidR="00387FBC">
        <w:rPr>
          <w:rFonts w:cs="Arial"/>
        </w:rPr>
        <w:t/>
      </w:r>
      <w:r w:rsidR="00D943AC">
        <w:rPr>
          <w:rFonts w:cs="Arial"/>
        </w:rPr>
        <w:t xml:space="preserve"/>
      </w:r>
      <w:r w:rsidR="004D60EC">
        <w:rPr>
          <w:rFonts w:cs="Arial"/>
        </w:rPr>
        <w:t/>
      </w:r>
      <w:r w:rsidR="00D6421C" w:rsidRPr="00D6421C">
        <w:rPr>
          <w:rFonts w:cs="Arial"/>
        </w:rPr>
        <w:t xml:space="preserve"/>
      </w:r>
      <w:r w:rsidR="00E44689">
        <w:rPr>
          <w:rFonts w:cs="Arial"/>
        </w:rPr>
        <w:t xml:space="preserve"/>
      </w:r>
      <w:r w:rsidR="00D6421C" w:rsidRPr="00D6421C">
        <w:rPr>
          <w:rFonts w:cs="Arial"/>
        </w:rPr>
        <w:t xml:space="preserve"/>
      </w:r>
      <w:r w:rsidR="008106E3">
        <w:rPr>
          <w:rFonts w:cs="Arial"/>
        </w:rPr>
        <w:t/>
      </w:r>
      <w:r w:rsidR="00D6421C" w:rsidRPr="00D6421C">
        <w:rPr>
          <w:rFonts w:cs="Arial"/>
        </w:rPr>
        <w:t xml:space="preserve"/>
      </w:r>
      <w:r w:rsidR="000F54C1">
        <w:rPr>
          <w:rFonts w:cs="Arial"/>
        </w:rPr>
        <w:t xml:space="preserve"/>
      </w:r>
      <w:r w:rsidR="00D6421C" w:rsidRPr="00D6421C">
        <w:rPr>
          <w:rFonts w:cs="Arial"/>
        </w:rPr>
        <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a développé un nouveau code adapté à sa taille et à son fonctionnement. Ces codes incluent la conformité aux exigences de la loi sur les conflits d’intérêts.</w:t>
      </w:r>
      <w:r w:rsidR="00A876AF">
        <w:rPr>
          <w:rFonts w:cs="Arial"/>
        </w:rPr>
        <w:t/>
      </w:r>
      <w:r w:rsidRPr="00B57EEC">
        <w:rPr>
          <w:rFonts w:cs="Arial"/>
        </w:rPr>
        <w:t xml:space="preserve"/>
      </w:r>
      <w:r w:rsidR="00A876AF">
        <w:rPr>
          <w:rFonts w:cs="Arial"/>
        </w:rPr>
        <w:t/>
      </w:r>
      <w:r w:rsidRPr="00B57EEC">
        <w:rPr>
          <w:rFonts w:cs="Arial"/>
        </w:rPr>
        <w:t xml:space="preserve"/>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Toutes les publications publiques d'informations de CDEV et de TMC sont effectuées dans les deux langues officielles. TMC a également mis à jour ses processus afin de garantir un meilleur accès à l'information en français sur son site Web et ailleurs.</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téléphonique de CDEV est en mesure de recevoir des messages en français, et nous disposons de personnel capable de répondre et de communiquer en français selon les besoins.</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frais de voyage, d’accueil, de conférence et d’événement</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voyage de CDEV est conforme. Sa petite taille permet à quelques individus clés de maintenir une vigilance continue. Conformément à la nouvelle législation sur l'AIPRP, les dépenses sont affichées mensuellement.</w:t>
      </w:r>
      <w:proofErr w:type="gramStart"/>
      <w:r w:rsidRPr="008E2B4E">
        <w:rPr>
          <w:rFonts w:cs="Arial"/>
        </w:rPr>
        <w:t/>
      </w:r>
      <w:proofErr w:type="gramEnd"/>
      <w:r w:rsidRPr="008E2B4E">
        <w:rPr>
          <w:rFonts w:cs="Arial"/>
        </w:rPr>
        <w:t xml:space="preserve"/>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Autres exigences</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La haute direction de CHHC participe à des réunions régulières avec l'opérateur de Hibernia, le régulateur C-NLOPB, les autres propriétaires du coentreprise et les acteurs de l'industrie. Cela permet à CHHC de rester informée des modifications des exigences en matière de conformité.</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qui bénéficie d'un soutien organisationnel étendu, est en mesure de surveiller les exigences pertinentes afin de rester en conformité avec les lois et les exigences du régulateur CNSC.</w:t>
      </w:r>
      <w:proofErr w:type="gramStart"/>
      <w:r w:rsidRPr="00AB51CD">
        <w:rPr>
          <w:rFonts w:cs="Arial"/>
        </w:rPr>
        <w:t/>
      </w:r>
      <w:proofErr w:type="gramEnd"/>
      <w:r w:rsidRPr="00AB51CD">
        <w:rPr>
          <w:rFonts w:cs="Arial"/>
        </w:rPr>
        <w:t xml:space="preserve"/>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opérateur de pipeline réglementé et, en vertu du Régulateur de l'énergie du Canada, doit être en conformité dans de nombreux domaines. TMC dispose de plusieurs individus dédiés aux questions de conformité avec le REC. Consultez le Plan de TMC pour plus de détails.</w:t>
      </w:r>
      <w:proofErr w:type="gramStart"/>
      <w:r w:rsidRPr="00AB51CD">
        <w:rPr>
          <w:rFonts w:cs="Arial"/>
        </w:rPr>
        <w:t/>
      </w:r>
      <w:proofErr w:type="gramEnd"/>
      <w:r w:rsidRPr="00AB51CD">
        <w:rPr>
          <w:rFonts w:cs="Arial"/>
        </w:rPr>
        <w:t xml:space="preserve"/>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CEEFC reçoit des informations privées de la part des emprunteurs LEEFF et a discuté des mesures nécessaires pour assurer sa conformité à la Loi sur la protection des renseignements personnels.</w:t>
      </w:r>
      <w:proofErr w:type="gramStart"/>
      <w:r w:rsidRPr="00AB51CD">
        <w:rPr>
          <w:rFonts w:cs="Arial"/>
        </w:rPr>
        <w:t/>
      </w:r>
      <w:proofErr w:type="gramEnd"/>
      <w:r w:rsidRPr="00AB51CD">
        <w:rPr>
          <w:rFonts w:cs="Arial"/>
        </w:rPr>
        <w:t xml:space="preserve"/>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Les conseils juridiques externes de CDEV possèdent une expertise approfondie en matière d'exigences de conformité pour les entreprises publiques et privées. De plus, notre Directeur juridique et secrétaire général ainsi que notre chef des finances participent aux groupes de travail des entreprises publiques où les questions de conformité et les questions émergentes sont discutées avec des suggestions de mise en œuvre.</w:t>
      </w:r>
      <w:r w:rsidR="006501F0">
        <w:rPr>
          <w:rFonts w:cs="Arial"/>
        </w:rPr>
        <w:t/>
      </w:r>
      <w:r w:rsidRPr="00AB51CD">
        <w:rPr>
          <w:rFonts w:cs="Arial"/>
        </w:rPr>
        <w:t xml:space="preserve"/>
      </w:r>
      <w:r w:rsidR="0067136B">
        <w:rPr>
          <w:rFonts w:cs="Arial"/>
        </w:rPr>
        <w:t/>
      </w:r>
      <w:r w:rsidR="009B7DE4">
        <w:rPr>
          <w:rFonts w:cs="Arial"/>
        </w:rPr>
        <w:t/>
      </w:r>
      <w:r w:rsidR="0067136B">
        <w:rPr>
          <w:rFonts w:cs="Arial"/>
        </w:rPr>
        <w:t xml:space="preserve"/>
      </w:r>
      <w:r w:rsidRPr="00AB51CD">
        <w:rPr>
          <w:rFonts w:cs="Arial"/>
        </w:rPr>
        <w:t xml:space="preserve"/>
      </w:r>
      <w:r w:rsidR="0067136B">
        <w:rPr>
          <w:rFonts w:cs="Arial"/>
        </w:rPr>
        <w:t/>
      </w:r>
      <w:r w:rsidRPr="00AB51CD">
        <w:rPr>
          <w:rFonts w:cs="Arial"/>
        </w:rPr>
        <w:t xml:space="preserve"/>
      </w:r>
      <w:r w:rsidR="0067136B">
        <w:rPr>
          <w:rFonts w:cs="Arial"/>
        </w:rPr>
        <w:t/>
      </w:r>
      <w:r w:rsidRPr="00AB51CD">
        <w:rPr>
          <w:rFonts w:cs="Arial"/>
        </w:rPr>
        <w:t xml:space="preserve"/>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Le Conseil d’administration de CDEV a l'opportunité, lors de réunions régulières du Conseil et des comités, d'observer et de questionner la haute direction sur sa conformité aux lois. Une certification annuelle est fournie par la haute direction concernant les questions de conformité.</w:t>
      </w:r>
      <w:r w:rsidR="00580D9C" w:rsidRPr="00AB51CD">
        <w:rPr>
          <w:rFonts w:cs="Arial"/>
        </w:rPr>
        <w:t xml:space="preserve"/>
      </w:r>
      <w:r w:rsidR="0022197C" w:rsidRPr="00AB51CD">
        <w:rPr>
          <w:rFonts w:cs="Arial"/>
        </w:rPr>
        <w:t/>
      </w:r>
      <w:r w:rsidR="00580D9C" w:rsidRPr="00AB51CD">
        <w:rPr>
          <w:rFonts w:cs="Arial"/>
        </w:rPr>
        <w:t/>
      </w:r>
      <w:r w:rsidRPr="00AB51CD">
        <w:rPr>
          <w:rFonts w:cs="Arial"/>
        </w:rPr>
        <w:t xml:space="preserve"/>
      </w:r>
      <w:r w:rsidR="00580D9C" w:rsidRPr="00AB51CD">
        <w:rPr>
          <w:rFonts w:cs="Arial"/>
        </w:rPr>
        <w:t xml:space="preserve"/>
      </w:r>
      <w:r w:rsidRPr="00AB51CD">
        <w:rPr>
          <w:rFonts w:cs="Arial"/>
        </w:rPr>
        <w:t xml:space="preserve"/>
      </w:r>
      <w:r w:rsidR="00580D9C" w:rsidRPr="00AB51CD">
        <w:rPr>
          <w:rFonts w:cs="Arial"/>
        </w:rPr>
        <w:t xml:space="preserve"/>
      </w:r>
      <w:r w:rsidR="00064D96" w:rsidRPr="00AB51CD">
        <w:rPr>
          <w:rFonts w:cs="Arial"/>
        </w:rPr>
        <w:t/>
      </w:r>
      <w:r w:rsidR="00580D9C" w:rsidRPr="00AB51CD">
        <w:rPr>
          <w:rFonts w:cs="Arial"/>
        </w:rPr>
        <w:t xml:space="preserve"/>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Plan d’entreprise 2025-2029 de CEEFC</w:t>
      </w:r>
      <w:r w:rsidR="00D24E7C" w:rsidRPr="00A85CE0">
        <w:rPr>
          <w:sz w:val="28"/>
          <w:szCs w:val="28"/>
        </w:rPr>
        <w:t/>
      </w:r>
      <w:r w:rsidR="006E46EB" w:rsidRPr="00A85CE0">
        <w:rPr>
          <w:sz w:val="28"/>
          <w:szCs w:val="28"/>
        </w:rPr>
        <w:t/>
      </w:r>
      <w:r w:rsidR="00D24E7C" w:rsidRPr="00A85CE0">
        <w:rPr>
          <w:sz w:val="28"/>
          <w:szCs w:val="28"/>
        </w:rPr>
        <w:t xml:space="preserve"/>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Plan d’entreprise 2025-2029 de CGF</w:t>
      </w:r>
      <w:r w:rsidR="009F6034" w:rsidRPr="00A85CE0">
        <w:rPr>
          <w:sz w:val="28"/>
          <w:szCs w:val="28"/>
        </w:rPr>
        <w:t/>
      </w:r>
      <w:r w:rsidR="00A85CE0" w:rsidRPr="00A85CE0">
        <w:rPr>
          <w:sz w:val="28"/>
          <w:szCs w:val="28"/>
        </w:rPr>
        <w:t/>
      </w:r>
      <w:r w:rsidR="009F6034" w:rsidRPr="00A85CE0">
        <w:rPr>
          <w:sz w:val="28"/>
          <w:szCs w:val="28"/>
        </w:rPr>
        <w:t xml:space="preserve"/>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 Plan d’entreprise 2025-2029 de CHHC</w:t>
      </w:r>
      <w:r w:rsidR="00FE4EB6" w:rsidRPr="00A85CE0">
        <w:rPr>
          <w:sz w:val="28"/>
          <w:szCs w:val="28"/>
        </w:rPr>
        <w:t/>
      </w:r>
      <w:r w:rsidRPr="00A85CE0">
        <w:rPr>
          <w:sz w:val="28"/>
          <w:szCs w:val="28"/>
        </w:rPr>
        <w:t xml:space="preserve"/>
      </w:r>
      <w:r w:rsidR="00FE4EB6" w:rsidRPr="00A85CE0">
        <w:rPr>
          <w:sz w:val="28"/>
          <w:szCs w:val="28"/>
        </w:rPr>
        <w:t/>
      </w:r>
      <w:r w:rsidR="00A85CE0" w:rsidRPr="00A85CE0">
        <w:rPr>
          <w:sz w:val="28"/>
          <w:szCs w:val="28"/>
        </w:rPr>
        <w:t/>
      </w:r>
      <w:r w:rsidRPr="00A85CE0">
        <w:rPr>
          <w:sz w:val="28"/>
          <w:szCs w:val="28"/>
        </w:rPr>
        <w:t xml:space="preserve"/>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 Plan d’entreprise 2025-2029 de TMC</w:t>
      </w:r>
      <w:r w:rsidR="002A2F4D" w:rsidRPr="00A85CE0">
        <w:rPr>
          <w:sz w:val="28"/>
          <w:szCs w:val="28"/>
        </w:rPr>
        <w:t/>
      </w:r>
      <w:r w:rsidRPr="00A85CE0">
        <w:rPr>
          <w:sz w:val="28"/>
          <w:szCs w:val="28"/>
        </w:rPr>
        <w:t xml:space="preserve"/>
      </w:r>
      <w:r w:rsidR="002A2F4D" w:rsidRPr="00A85CE0">
        <w:rPr>
          <w:sz w:val="28"/>
          <w:szCs w:val="28"/>
        </w:rPr>
        <w:t/>
      </w:r>
      <w:r w:rsidRPr="00A85CE0">
        <w:rPr>
          <w:sz w:val="28"/>
          <w:szCs w:val="28"/>
        </w:rPr>
        <w:t xml:space="preserve"/>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Corporation</w:t>
    </w:r>
    <w:r w:rsidR="00031825">
      <w:tab/>
    </w:r>
    <w:r w:rsidR="0071629A">
      <w:tab/>
    </w:r>
    <w:r w:rsidR="00031825">
      <w:t xml:space="preserve"> </w:t>
    </w:r>
  </w:p>
  <w:p w14:paraId="1EDFCF56" w14:textId="01E700E2" w:rsidR="007D7676" w:rsidRDefault="077145BF">
    <w:pPr>
      <w:pStyle w:val="Footer"/>
    </w:pPr>
    <w:r>
      <w:t>Plan d’entreprise 2025-2029                                                                                                             25 octobre 2024</w:t>
    </w:r>
    <w:r w:rsidR="00C55B2C">
      <w:tab/>
    </w:r>
    <w:r>
      <w:t xml:space="preserve"/>
    </w:r>
    <w:r w:rsidR="11DA25E1">
      <w:t xml:space="preserve"/>
    </w:r>
    <w:r w:rsidR="53B26BEC">
      <w:t xml:space="preserve"/>
    </w:r>
    <w:r w:rsidR="0DD9745E">
      <w:t xml:space="preserve"/>
    </w:r>
    <w: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