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EA3A" w14:textId="77777777" w:rsidR="000D7936" w:rsidRDefault="005E030A" w:rsidP="00A50E1D">
      <w:pPr>
        <w:spacing w:afterAutospacing="0"/>
        <w:rPr>
          <w:rFonts w:ascii="Times New Roman" w:eastAsia="Times New Roman" w:hAnsi="Times New Roman" w:cs="Times New Roman"/>
          <w:b/>
          <w:bCs/>
          <w:kern w:val="36"/>
          <w:sz w:val="36"/>
          <w:szCs w:val="36"/>
          <w:lang w:eastAsia="en-GB"/>
          <w14:ligatures w14:val="none"/>
        </w:rPr>
      </w:pPr>
      <w:r w:rsidRPr="00507A61">
        <w:rPr>
          <w:rFonts w:ascii="Times New Roman" w:eastAsia="Times New Roman" w:hAnsi="Times New Roman" w:cs="Times New Roman"/>
          <w:i/>
          <w:iCs/>
          <w:kern w:val="0"/>
          <w:sz w:val="36"/>
          <w:szCs w:val="36"/>
          <w:lang w:eastAsia="en-GB"/>
          <w14:ligatures w14:val="none"/>
        </w:rPr>
        <w:t>Quantitative Research Report</w:t>
      </w:r>
      <w:r>
        <w:rPr>
          <w:rFonts w:ascii="Times New Roman" w:eastAsia="Times New Roman" w:hAnsi="Times New Roman" w:cs="Times New Roman"/>
          <w:i/>
          <w:iCs/>
          <w:kern w:val="0"/>
          <w:lang w:eastAsia="en-GB"/>
          <w14:ligatures w14:val="none"/>
        </w:rPr>
        <w:br/>
      </w:r>
      <w:r w:rsidR="00507A61" w:rsidRPr="00507A61">
        <w:rPr>
          <w:rFonts w:ascii="Times New Roman" w:eastAsia="Times New Roman" w:hAnsi="Times New Roman" w:cs="Times New Roman"/>
          <w:b/>
          <w:bCs/>
          <w:kern w:val="36"/>
          <w:sz w:val="36"/>
          <w:szCs w:val="36"/>
          <w:lang w:eastAsia="en-GB"/>
          <w14:ligatures w14:val="none"/>
        </w:rPr>
        <w:t>KIT714 – ICT Research Principles</w:t>
      </w:r>
    </w:p>
    <w:p w14:paraId="5D3A28F8" w14:textId="57E3C9A0" w:rsidR="00507A61" w:rsidRPr="00507A61" w:rsidRDefault="00A50E1D" w:rsidP="00A50E1D">
      <w:pPr>
        <w:spacing w:afterAutospacing="0"/>
        <w:rPr>
          <w:rFonts w:ascii="Times New Roman" w:eastAsia="Times New Roman" w:hAnsi="Times New Roman" w:cs="Times New Roman"/>
          <w:i/>
          <w:iCs/>
          <w:kern w:val="0"/>
          <w:lang w:eastAsia="en-GB"/>
          <w14:ligatures w14:val="none"/>
        </w:rPr>
      </w:pPr>
      <w:r>
        <w:rPr>
          <w:rFonts w:ascii="Times New Roman" w:eastAsia="Times New Roman" w:hAnsi="Times New Roman" w:cs="Times New Roman"/>
          <w:i/>
          <w:iCs/>
          <w:kern w:val="0"/>
          <w:lang w:eastAsia="en-GB"/>
          <w14:ligatures w14:val="none"/>
        </w:rPr>
        <w:br/>
      </w:r>
      <w:r w:rsidR="00507A61" w:rsidRPr="00507A61">
        <w:rPr>
          <w:rFonts w:ascii="Times New Roman" w:eastAsia="Times New Roman" w:hAnsi="Times New Roman" w:cs="Times New Roman"/>
          <w:b/>
          <w:bCs/>
          <w:kern w:val="0"/>
          <w:sz w:val="26"/>
          <w:szCs w:val="26"/>
          <w:lang w:eastAsia="en-GB"/>
          <w14:ligatures w14:val="none"/>
        </w:rPr>
        <w:t>1. Introduction</w:t>
      </w:r>
    </w:p>
    <w:p w14:paraId="427AF07D" w14:textId="3E63FB50" w:rsidR="001E0343" w:rsidRPr="001E0343" w:rsidRDefault="001E0343" w:rsidP="001E0343">
      <w:p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Quantitative research provides a structured way to evaluate educational practices in ICT by turning questions about “what works” into testable propositions. Rather than relying on anecdotes or isolated classroom experiences, quantitative analysis uses numbers, models, and assumptions to examine patterns, differences, and predictive relationships. This report investigates whether three teaching methods</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labelled A, B, and C</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produce different performance outcomes, and whether additional learner and context variables help explain those outcomes.</w:t>
      </w:r>
    </w:p>
    <w:p w14:paraId="2D9D2051" w14:textId="2BF01E57" w:rsidR="001E0343" w:rsidRPr="001E0343" w:rsidRDefault="001E0343" w:rsidP="001E0343">
      <w:p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The inquiry addresses two aims. First, it tests whether the choice of teaching method is associated with differences in students’ final test scores. Second, it estimates the contribution of potentially influential factors such as age, gender, prior achievement, instructor experience, class size, delivery mode (online vs in</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 xml:space="preserve">person), and weekly study time. The analysis pipeline includes descriptive statistics, a </w:t>
      </w:r>
      <w:r w:rsidR="00654B01" w:rsidRPr="001E0343">
        <w:rPr>
          <w:rFonts w:ascii="Times New Roman" w:eastAsia="Times New Roman" w:hAnsi="Times New Roman" w:cs="Times New Roman"/>
          <w:kern w:val="0"/>
          <w:sz w:val="20"/>
          <w:szCs w:val="20"/>
          <w:lang w:eastAsia="en-GB"/>
          <w14:ligatures w14:val="none"/>
        </w:rPr>
        <w:t>one</w:t>
      </w:r>
      <w:r w:rsidR="00654B01">
        <w:rPr>
          <w:rFonts w:ascii="Times New Roman" w:eastAsia="Times New Roman" w:hAnsi="Times New Roman" w:cs="Times New Roman"/>
          <w:kern w:val="0"/>
          <w:sz w:val="20"/>
          <w:szCs w:val="20"/>
          <w:lang w:eastAsia="en-GB"/>
          <w14:ligatures w14:val="none"/>
        </w:rPr>
        <w:t>-way</w:t>
      </w:r>
      <w:r w:rsidRPr="001E0343">
        <w:rPr>
          <w:rFonts w:ascii="Times New Roman" w:eastAsia="Times New Roman" w:hAnsi="Times New Roman" w:cs="Times New Roman"/>
          <w:kern w:val="0"/>
          <w:sz w:val="20"/>
          <w:szCs w:val="20"/>
          <w:lang w:eastAsia="en-GB"/>
          <w14:ligatures w14:val="none"/>
        </w:rPr>
        <w:t xml:space="preserve"> ANOVA with post-hoc comparisons, and a multiple regression model. Figures and tables are used to support interpretation, and standard diagnostics are reported to demonstrate that the modelling choices are reasonable.</w:t>
      </w:r>
    </w:p>
    <w:p w14:paraId="58192980" w14:textId="3FF35B4E" w:rsidR="001E0343" w:rsidRPr="001E0343" w:rsidRDefault="001E0343" w:rsidP="001E0343">
      <w:p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 xml:space="preserve">Research design. The study adopts a comparison design with a </w:t>
      </w:r>
      <w:r w:rsidR="00654B01" w:rsidRPr="001E0343">
        <w:rPr>
          <w:rFonts w:ascii="Times New Roman" w:eastAsia="Times New Roman" w:hAnsi="Times New Roman" w:cs="Times New Roman"/>
          <w:kern w:val="0"/>
          <w:sz w:val="20"/>
          <w:szCs w:val="20"/>
          <w:lang w:eastAsia="en-GB"/>
          <w14:ligatures w14:val="none"/>
        </w:rPr>
        <w:t>quasi</w:t>
      </w:r>
      <w:r w:rsidR="00654B01">
        <w:rPr>
          <w:rFonts w:ascii="Times New Roman" w:eastAsia="Times New Roman" w:hAnsi="Times New Roman" w:cs="Times New Roman"/>
          <w:kern w:val="0"/>
          <w:sz w:val="20"/>
          <w:szCs w:val="20"/>
          <w:lang w:eastAsia="en-GB"/>
          <w14:ligatures w14:val="none"/>
        </w:rPr>
        <w:t>-</w:t>
      </w:r>
      <w:r w:rsidR="00654B01" w:rsidRPr="001E0343">
        <w:rPr>
          <w:rFonts w:ascii="Times New Roman" w:eastAsia="Times New Roman" w:hAnsi="Times New Roman" w:cs="Times New Roman"/>
          <w:kern w:val="0"/>
          <w:sz w:val="20"/>
          <w:szCs w:val="20"/>
          <w:lang w:eastAsia="en-GB"/>
          <w14:ligatures w14:val="none"/>
        </w:rPr>
        <w:t>experimental</w:t>
      </w:r>
      <w:r w:rsidRPr="001E0343">
        <w:rPr>
          <w:rFonts w:ascii="Times New Roman" w:eastAsia="Times New Roman" w:hAnsi="Times New Roman" w:cs="Times New Roman"/>
          <w:kern w:val="0"/>
          <w:sz w:val="20"/>
          <w:szCs w:val="20"/>
          <w:lang w:eastAsia="en-GB"/>
          <w14:ligatures w14:val="none"/>
        </w:rPr>
        <w:t xml:space="preserve"> structure, because students were already allocated to one of the three methods via existing classes; there was no random assignment. To complement group comparisons with a multivariate view, a relational component is added using multiple regression to evaluate how background and context variables relate to performance. This dual strategy mirrors KIT714 guidance on combining difference</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testing and prediction to obtain a rounded picture of effectiveness.</w:t>
      </w:r>
    </w:p>
    <w:p w14:paraId="759E25AB" w14:textId="3A765113" w:rsidR="001E0343" w:rsidRDefault="001E0343" w:rsidP="001E0343">
      <w:p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Significance and contribution. The analysis emphasises both statistical significance and practical importance. In addition to p-values, the report uses effect sizes and visualisations to communicate the magnitude and stability of findings. The intention is to inform everyday instructional decisions in ICT</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such as which delivery approach to prioritise, how to scaffold learners with weaker starting points, and how to improve online classes</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while also identifying gaps that call for more rigorous designs in future work.</w:t>
      </w:r>
    </w:p>
    <w:p w14:paraId="1EF30A02" w14:textId="0D043627" w:rsidR="00A50E1D" w:rsidRDefault="00507A61" w:rsidP="001E0343">
      <w:pPr>
        <w:spacing w:before="100" w:beforeAutospacing="1" w:after="120" w:afterAutospacing="0"/>
        <w:outlineLvl w:val="1"/>
        <w:rPr>
          <w:rFonts w:ascii="Times New Roman" w:eastAsia="Times New Roman" w:hAnsi="Times New Roman" w:cs="Times New Roman"/>
          <w:b/>
          <w:bCs/>
          <w:kern w:val="0"/>
          <w:sz w:val="26"/>
          <w:szCs w:val="26"/>
          <w:lang w:eastAsia="en-GB"/>
          <w14:ligatures w14:val="none"/>
        </w:rPr>
      </w:pPr>
      <w:r w:rsidRPr="00507A61">
        <w:rPr>
          <w:rFonts w:ascii="Times New Roman" w:eastAsia="Times New Roman" w:hAnsi="Times New Roman" w:cs="Times New Roman"/>
          <w:b/>
          <w:bCs/>
          <w:kern w:val="0"/>
          <w:sz w:val="26"/>
          <w:szCs w:val="26"/>
          <w:lang w:eastAsia="en-GB"/>
          <w14:ligatures w14:val="none"/>
        </w:rPr>
        <w:t>2. Dataset Description</w:t>
      </w:r>
    </w:p>
    <w:p w14:paraId="5D14DD91" w14:textId="2E531F15" w:rsidR="00507A61" w:rsidRPr="0015308A" w:rsidRDefault="00507A61" w:rsidP="00341DF4">
      <w:pPr>
        <w:spacing w:before="0" w:after="60" w:afterAutospacing="0"/>
        <w:outlineLvl w:val="1"/>
        <w:rPr>
          <w:rFonts w:ascii="Times New Roman" w:eastAsia="Times New Roman" w:hAnsi="Times New Roman" w:cs="Times New Roman"/>
          <w:b/>
          <w:bCs/>
          <w:kern w:val="0"/>
          <w:sz w:val="20"/>
          <w:szCs w:val="20"/>
          <w:lang w:eastAsia="en-GB"/>
          <w14:ligatures w14:val="none"/>
        </w:rPr>
      </w:pPr>
      <w:r w:rsidRPr="0015308A">
        <w:rPr>
          <w:rFonts w:ascii="Times New Roman" w:eastAsia="Times New Roman" w:hAnsi="Times New Roman" w:cs="Times New Roman"/>
          <w:b/>
          <w:bCs/>
          <w:kern w:val="0"/>
          <w:sz w:val="20"/>
          <w:szCs w:val="20"/>
          <w:lang w:eastAsia="en-GB"/>
          <w14:ligatures w14:val="none"/>
        </w:rPr>
        <w:t>2.1 Variables</w:t>
      </w:r>
      <w:r w:rsidR="005C724D">
        <w:rPr>
          <w:rFonts w:ascii="Times New Roman" w:eastAsia="Times New Roman" w:hAnsi="Times New Roman" w:cs="Times New Roman"/>
          <w:b/>
          <w:bCs/>
          <w:kern w:val="0"/>
          <w:sz w:val="20"/>
          <w:szCs w:val="20"/>
          <w:lang w:eastAsia="en-GB"/>
          <w14:ligatures w14:val="none"/>
        </w:rPr>
        <w:t xml:space="preserve"> and sample</w:t>
      </w:r>
    </w:p>
    <w:p w14:paraId="201E0856" w14:textId="77777777" w:rsidR="005C724D" w:rsidRDefault="005C724D" w:rsidP="005C724D">
      <w:pPr>
        <w:spacing w:before="0" w:after="120" w:afterAutospacing="0"/>
        <w:rPr>
          <w:rFonts w:ascii="Times New Roman" w:eastAsia="Times New Roman" w:hAnsi="Times New Roman" w:cs="Times New Roman"/>
          <w:b/>
          <w:bCs/>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 xml:space="preserve">Data were collected for 60 students (20 per method). The following variables were </w:t>
      </w:r>
      <w:r w:rsidRPr="005C724D">
        <w:rPr>
          <w:rFonts w:ascii="Times New Roman" w:eastAsia="Times New Roman" w:hAnsi="Times New Roman" w:cs="Times New Roman"/>
          <w:kern w:val="0"/>
          <w:sz w:val="20"/>
          <w:szCs w:val="20"/>
          <w:lang w:eastAsia="en-GB"/>
          <w14:ligatures w14:val="none"/>
        </w:rPr>
        <w:t>analysed:</w:t>
      </w:r>
      <w:r w:rsidRPr="00507A61">
        <w:rPr>
          <w:rFonts w:ascii="Times New Roman" w:eastAsia="Times New Roman" w:hAnsi="Times New Roman" w:cs="Times New Roman"/>
          <w:b/>
          <w:bCs/>
          <w:kern w:val="0"/>
          <w:sz w:val="20"/>
          <w:szCs w:val="20"/>
          <w:lang w:eastAsia="en-GB"/>
          <w14:ligatures w14:val="none"/>
        </w:rPr>
        <w:t xml:space="preserve"> </w:t>
      </w:r>
    </w:p>
    <w:p w14:paraId="4734D961" w14:textId="77777777" w:rsidR="005C724D" w:rsidRPr="005C724D" w:rsidRDefault="005C724D" w:rsidP="00654B01">
      <w:pPr>
        <w:numPr>
          <w:ilvl w:val="0"/>
          <w:numId w:val="20"/>
        </w:numPr>
        <w:spacing w:before="0"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Group: teaching method (A/B/C)</w:t>
      </w:r>
    </w:p>
    <w:p w14:paraId="51842F16" w14:textId="74C4C4A4" w:rsidR="005C724D" w:rsidRPr="005C724D" w:rsidRDefault="005C724D" w:rsidP="00654B01">
      <w:pPr>
        <w:numPr>
          <w:ilvl w:val="0"/>
          <w:numId w:val="20"/>
        </w:numPr>
        <w:spacing w:before="100" w:beforeAutospacing="1"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Test Score: final assessment (0</w:t>
      </w:r>
      <w:r w:rsidR="00654B01">
        <w:rPr>
          <w:rFonts w:ascii="Times New Roman" w:eastAsia="Times New Roman" w:hAnsi="Times New Roman" w:cs="Times New Roman"/>
          <w:kern w:val="0"/>
          <w:sz w:val="20"/>
          <w:szCs w:val="20"/>
          <w:lang w:eastAsia="en-GB"/>
          <w14:ligatures w14:val="none"/>
        </w:rPr>
        <w:t>-</w:t>
      </w:r>
      <w:r w:rsidRPr="005C724D">
        <w:rPr>
          <w:rFonts w:ascii="Times New Roman" w:eastAsia="Times New Roman" w:hAnsi="Times New Roman" w:cs="Times New Roman"/>
          <w:kern w:val="0"/>
          <w:sz w:val="20"/>
          <w:szCs w:val="20"/>
          <w:lang w:eastAsia="en-GB"/>
          <w14:ligatures w14:val="none"/>
        </w:rPr>
        <w:t>100)</w:t>
      </w:r>
    </w:p>
    <w:p w14:paraId="570F3875" w14:textId="37C73895" w:rsidR="005C724D" w:rsidRPr="005C724D" w:rsidRDefault="005C724D" w:rsidP="00654B01">
      <w:pPr>
        <w:numPr>
          <w:ilvl w:val="0"/>
          <w:numId w:val="20"/>
        </w:numPr>
        <w:spacing w:before="100" w:beforeAutospacing="1"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Age: years (approx. 15</w:t>
      </w:r>
      <w:r w:rsidR="00654B01">
        <w:rPr>
          <w:rFonts w:ascii="Times New Roman" w:eastAsia="Times New Roman" w:hAnsi="Times New Roman" w:cs="Times New Roman"/>
          <w:kern w:val="0"/>
          <w:sz w:val="20"/>
          <w:szCs w:val="20"/>
          <w:lang w:eastAsia="en-GB"/>
          <w14:ligatures w14:val="none"/>
        </w:rPr>
        <w:t>-</w:t>
      </w:r>
      <w:r w:rsidRPr="005C724D">
        <w:rPr>
          <w:rFonts w:ascii="Times New Roman" w:eastAsia="Times New Roman" w:hAnsi="Times New Roman" w:cs="Times New Roman"/>
          <w:kern w:val="0"/>
          <w:sz w:val="20"/>
          <w:szCs w:val="20"/>
          <w:lang w:eastAsia="en-GB"/>
          <w14:ligatures w14:val="none"/>
        </w:rPr>
        <w:t>17)</w:t>
      </w:r>
    </w:p>
    <w:p w14:paraId="7DF5B5B2" w14:textId="77777777" w:rsidR="005C724D" w:rsidRPr="005C724D" w:rsidRDefault="005C724D" w:rsidP="00654B01">
      <w:pPr>
        <w:numPr>
          <w:ilvl w:val="0"/>
          <w:numId w:val="20"/>
        </w:numPr>
        <w:spacing w:before="100" w:beforeAutospacing="1"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Gender: male/female</w:t>
      </w:r>
    </w:p>
    <w:p w14:paraId="56485BA8" w14:textId="061069DA" w:rsidR="005C724D" w:rsidRPr="005C724D" w:rsidRDefault="005C724D" w:rsidP="00654B01">
      <w:pPr>
        <w:numPr>
          <w:ilvl w:val="0"/>
          <w:numId w:val="20"/>
        </w:numPr>
        <w:spacing w:before="100" w:beforeAutospacing="1"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Pre-Test Score: baseline assessment (0</w:t>
      </w:r>
      <w:r w:rsidR="00654B01">
        <w:rPr>
          <w:rFonts w:ascii="Times New Roman" w:eastAsia="Times New Roman" w:hAnsi="Times New Roman" w:cs="Times New Roman"/>
          <w:kern w:val="0"/>
          <w:sz w:val="20"/>
          <w:szCs w:val="20"/>
          <w:lang w:eastAsia="en-GB"/>
          <w14:ligatures w14:val="none"/>
        </w:rPr>
        <w:t>-</w:t>
      </w:r>
      <w:r w:rsidRPr="005C724D">
        <w:rPr>
          <w:rFonts w:ascii="Times New Roman" w:eastAsia="Times New Roman" w:hAnsi="Times New Roman" w:cs="Times New Roman"/>
          <w:kern w:val="0"/>
          <w:sz w:val="20"/>
          <w:szCs w:val="20"/>
          <w:lang w:eastAsia="en-GB"/>
          <w14:ligatures w14:val="none"/>
        </w:rPr>
        <w:t>100)</w:t>
      </w:r>
    </w:p>
    <w:p w14:paraId="30F12EBF" w14:textId="53E6953E" w:rsidR="005C724D" w:rsidRPr="005C724D" w:rsidRDefault="005C724D" w:rsidP="00654B01">
      <w:pPr>
        <w:numPr>
          <w:ilvl w:val="0"/>
          <w:numId w:val="20"/>
        </w:numPr>
        <w:spacing w:before="100" w:beforeAutospacing="1"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Instructor Experience: years of teaching (1</w:t>
      </w:r>
      <w:r w:rsidR="00654B01">
        <w:rPr>
          <w:rFonts w:ascii="Times New Roman" w:eastAsia="Times New Roman" w:hAnsi="Times New Roman" w:cs="Times New Roman"/>
          <w:kern w:val="0"/>
          <w:sz w:val="20"/>
          <w:szCs w:val="20"/>
          <w:lang w:eastAsia="en-GB"/>
          <w14:ligatures w14:val="none"/>
        </w:rPr>
        <w:t>-</w:t>
      </w:r>
      <w:r w:rsidRPr="005C724D">
        <w:rPr>
          <w:rFonts w:ascii="Times New Roman" w:eastAsia="Times New Roman" w:hAnsi="Times New Roman" w:cs="Times New Roman"/>
          <w:kern w:val="0"/>
          <w:sz w:val="20"/>
          <w:szCs w:val="20"/>
          <w:lang w:eastAsia="en-GB"/>
          <w14:ligatures w14:val="none"/>
        </w:rPr>
        <w:t>9)</w:t>
      </w:r>
    </w:p>
    <w:p w14:paraId="2F9B32C0" w14:textId="6F789E15" w:rsidR="005C724D" w:rsidRPr="005C724D" w:rsidRDefault="005C724D" w:rsidP="00654B01">
      <w:pPr>
        <w:numPr>
          <w:ilvl w:val="0"/>
          <w:numId w:val="20"/>
        </w:numPr>
        <w:spacing w:before="100" w:beforeAutospacing="1"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Class Size: students per class (15</w:t>
      </w:r>
      <w:r w:rsidR="00654B01">
        <w:rPr>
          <w:rFonts w:ascii="Times New Roman" w:eastAsia="Times New Roman" w:hAnsi="Times New Roman" w:cs="Times New Roman"/>
          <w:kern w:val="0"/>
          <w:sz w:val="20"/>
          <w:szCs w:val="20"/>
          <w:lang w:eastAsia="en-GB"/>
          <w14:ligatures w14:val="none"/>
        </w:rPr>
        <w:t>-</w:t>
      </w:r>
      <w:r w:rsidRPr="005C724D">
        <w:rPr>
          <w:rFonts w:ascii="Times New Roman" w:eastAsia="Times New Roman" w:hAnsi="Times New Roman" w:cs="Times New Roman"/>
          <w:kern w:val="0"/>
          <w:sz w:val="20"/>
          <w:szCs w:val="20"/>
          <w:lang w:eastAsia="en-GB"/>
          <w14:ligatures w14:val="none"/>
        </w:rPr>
        <w:t>24)</w:t>
      </w:r>
    </w:p>
    <w:p w14:paraId="6FF6AFA9" w14:textId="77777777" w:rsidR="005C724D" w:rsidRPr="005C724D" w:rsidRDefault="005C724D" w:rsidP="00654B01">
      <w:pPr>
        <w:numPr>
          <w:ilvl w:val="0"/>
          <w:numId w:val="20"/>
        </w:numPr>
        <w:spacing w:before="100" w:beforeAutospacing="1"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Classroom Setting: online vs in-person</w:t>
      </w:r>
    </w:p>
    <w:p w14:paraId="65BDE446" w14:textId="48C888CD" w:rsidR="005C724D" w:rsidRPr="005C724D" w:rsidRDefault="005C724D" w:rsidP="00654B01">
      <w:pPr>
        <w:numPr>
          <w:ilvl w:val="0"/>
          <w:numId w:val="20"/>
        </w:numPr>
        <w:spacing w:before="100" w:beforeAutospacing="1" w:after="60" w:afterAutospacing="0"/>
        <w:ind w:left="714" w:hanging="357"/>
        <w:outlineLvl w:val="2"/>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Study Time: weekly hours outside class (approx. 4</w:t>
      </w:r>
      <w:r w:rsidR="00654B01">
        <w:rPr>
          <w:rFonts w:ascii="Times New Roman" w:eastAsia="Times New Roman" w:hAnsi="Times New Roman" w:cs="Times New Roman"/>
          <w:kern w:val="0"/>
          <w:sz w:val="20"/>
          <w:szCs w:val="20"/>
          <w:lang w:eastAsia="en-GB"/>
          <w14:ligatures w14:val="none"/>
        </w:rPr>
        <w:t>-</w:t>
      </w:r>
      <w:r w:rsidRPr="005C724D">
        <w:rPr>
          <w:rFonts w:ascii="Times New Roman" w:eastAsia="Times New Roman" w:hAnsi="Times New Roman" w:cs="Times New Roman"/>
          <w:kern w:val="0"/>
          <w:sz w:val="20"/>
          <w:szCs w:val="20"/>
          <w:lang w:eastAsia="en-GB"/>
          <w14:ligatures w14:val="none"/>
        </w:rPr>
        <w:t>16)</w:t>
      </w:r>
    </w:p>
    <w:p w14:paraId="7DC85854" w14:textId="77777777" w:rsidR="00EC5BF3" w:rsidRDefault="00EC5BF3">
      <w:pPr>
        <w:rPr>
          <w:rFonts w:ascii="Times New Roman" w:eastAsia="Times New Roman" w:hAnsi="Times New Roman" w:cs="Times New Roman"/>
          <w:b/>
          <w:bCs/>
          <w:kern w:val="0"/>
          <w:sz w:val="20"/>
          <w:szCs w:val="20"/>
          <w:lang w:eastAsia="en-GB"/>
          <w14:ligatures w14:val="none"/>
        </w:rPr>
      </w:pPr>
      <w:r>
        <w:rPr>
          <w:rFonts w:ascii="Times New Roman" w:eastAsia="Times New Roman" w:hAnsi="Times New Roman" w:cs="Times New Roman"/>
          <w:b/>
          <w:bCs/>
          <w:kern w:val="0"/>
          <w:sz w:val="20"/>
          <w:szCs w:val="20"/>
          <w:lang w:eastAsia="en-GB"/>
          <w14:ligatures w14:val="none"/>
        </w:rPr>
        <w:br w:type="page"/>
      </w:r>
    </w:p>
    <w:p w14:paraId="6E72E6F0" w14:textId="511A6CAF" w:rsidR="00507A61" w:rsidRPr="0015308A" w:rsidRDefault="00507A61" w:rsidP="00A50E1D">
      <w:pPr>
        <w:spacing w:before="100" w:beforeAutospacing="1" w:after="120" w:afterAutospacing="0"/>
        <w:outlineLvl w:val="2"/>
        <w:rPr>
          <w:rFonts w:ascii="Times New Roman" w:eastAsia="Times New Roman" w:hAnsi="Times New Roman" w:cs="Times New Roman"/>
          <w:b/>
          <w:bCs/>
          <w:kern w:val="0"/>
          <w:sz w:val="20"/>
          <w:szCs w:val="20"/>
          <w:lang w:eastAsia="en-GB"/>
          <w14:ligatures w14:val="none"/>
        </w:rPr>
      </w:pPr>
      <w:r w:rsidRPr="0015308A">
        <w:rPr>
          <w:rFonts w:ascii="Times New Roman" w:eastAsia="Times New Roman" w:hAnsi="Times New Roman" w:cs="Times New Roman"/>
          <w:b/>
          <w:bCs/>
          <w:kern w:val="0"/>
          <w:sz w:val="20"/>
          <w:szCs w:val="20"/>
          <w:lang w:eastAsia="en-GB"/>
          <w14:ligatures w14:val="none"/>
        </w:rPr>
        <w:lastRenderedPageBreak/>
        <w:t>2.2 Descriptive Statistics</w:t>
      </w:r>
    </w:p>
    <w:p w14:paraId="274E16E8" w14:textId="77777777" w:rsidR="004E2D23" w:rsidRDefault="00D1192A" w:rsidP="0015308A">
      <w:pPr>
        <w:spacing w:before="0" w:after="60" w:afterAutospacing="0"/>
        <w:jc w:val="center"/>
        <w:outlineLvl w:val="2"/>
        <w:rPr>
          <w:rFonts w:ascii="Times New Roman" w:eastAsia="Times New Roman" w:hAnsi="Times New Roman" w:cs="Times New Roman"/>
          <w:kern w:val="0"/>
          <w:sz w:val="18"/>
          <w:szCs w:val="18"/>
          <w:lang w:eastAsia="en-GB"/>
          <w14:ligatures w14:val="none"/>
        </w:rPr>
      </w:pPr>
      <w:r w:rsidRPr="00D1192A">
        <w:rPr>
          <w:rFonts w:ascii="Times New Roman" w:eastAsia="Times New Roman" w:hAnsi="Times New Roman" w:cs="Times New Roman"/>
          <w:kern w:val="0"/>
          <w:sz w:val="18"/>
          <w:szCs w:val="18"/>
          <w:lang w:eastAsia="en-GB"/>
          <w14:ligatures w14:val="none"/>
        </w:rPr>
        <w:t>Table 1</w:t>
      </w:r>
    </w:p>
    <w:p w14:paraId="4DFEF309" w14:textId="4EEBB972" w:rsidR="00D1192A" w:rsidRPr="00507A61" w:rsidRDefault="00D1192A" w:rsidP="0015308A">
      <w:pPr>
        <w:spacing w:before="0" w:after="60" w:afterAutospacing="0"/>
        <w:jc w:val="center"/>
        <w:outlineLvl w:val="2"/>
        <w:rPr>
          <w:rFonts w:ascii="Times New Roman" w:eastAsia="Times New Roman" w:hAnsi="Times New Roman" w:cs="Times New Roman"/>
          <w:b/>
          <w:bCs/>
          <w:kern w:val="0"/>
          <w:sz w:val="27"/>
          <w:szCs w:val="27"/>
          <w:lang w:eastAsia="en-GB"/>
          <w14:ligatures w14:val="none"/>
        </w:rPr>
      </w:pPr>
      <w:r w:rsidRPr="00D1192A">
        <w:rPr>
          <w:rFonts w:ascii="Times New Roman" w:eastAsia="Times New Roman" w:hAnsi="Times New Roman" w:cs="Times New Roman"/>
          <w:kern w:val="0"/>
          <w:sz w:val="18"/>
          <w:szCs w:val="18"/>
          <w:lang w:eastAsia="en-GB"/>
          <w14:ligatures w14:val="none"/>
        </w:rPr>
        <w:t>Descriptive statistics of teaching methods dataset</w:t>
      </w:r>
      <w:r w:rsidR="005C724D">
        <w:rPr>
          <w:rFonts w:ascii="Times New Roman" w:eastAsia="Times New Roman" w:hAnsi="Times New Roman" w:cs="Times New Roman"/>
          <w:kern w:val="0"/>
          <w:sz w:val="18"/>
          <w:szCs w:val="18"/>
          <w:lang w:eastAsia="en-GB"/>
          <w14:ligatures w14:val="none"/>
        </w:rPr>
        <w:t xml:space="preserve"> </w:t>
      </w:r>
      <w:r w:rsidR="005C724D" w:rsidRPr="005C724D">
        <w:rPr>
          <w:rFonts w:ascii="Times New Roman" w:eastAsia="Times New Roman" w:hAnsi="Times New Roman" w:cs="Times New Roman"/>
          <w:kern w:val="0"/>
          <w:sz w:val="18"/>
          <w:szCs w:val="18"/>
          <w:lang w:eastAsia="en-GB"/>
          <w14:ligatures w14:val="none"/>
        </w:rPr>
        <w:t>(N = 60)</w:t>
      </w:r>
      <w:r w:rsidRPr="00D1192A">
        <w:rPr>
          <w:rFonts w:ascii="Times New Roman" w:eastAsia="Times New Roman" w:hAnsi="Times New Roman" w:cs="Times New Roman"/>
          <w:kern w:val="0"/>
          <w:sz w:val="18"/>
          <w:szCs w:val="18"/>
          <w:lang w:eastAsia="en-GB"/>
          <w14:ligatures w14:val="none"/>
        </w:rPr>
        <w:t>.</w:t>
      </w:r>
    </w:p>
    <w:tbl>
      <w:tblPr>
        <w:tblW w:w="9072"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1275"/>
        <w:gridCol w:w="1134"/>
        <w:gridCol w:w="1134"/>
        <w:gridCol w:w="1134"/>
        <w:gridCol w:w="1134"/>
      </w:tblGrid>
      <w:tr w:rsidR="00B16DAB" w:rsidRPr="00507A61" w14:paraId="59138F0A" w14:textId="77777777" w:rsidTr="00B16DAB">
        <w:trPr>
          <w:tblHeader/>
          <w:tblCellSpacing w:w="15" w:type="dxa"/>
        </w:trPr>
        <w:tc>
          <w:tcPr>
            <w:tcW w:w="3216" w:type="dxa"/>
            <w:tcBorders>
              <w:top w:val="nil"/>
              <w:left w:val="single" w:sz="4" w:space="0" w:color="auto"/>
              <w:bottom w:val="single" w:sz="4" w:space="0" w:color="auto"/>
            </w:tcBorders>
            <w:vAlign w:val="center"/>
            <w:hideMark/>
          </w:tcPr>
          <w:p w14:paraId="5D05DB7E"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Variable</w:t>
            </w:r>
          </w:p>
        </w:tc>
        <w:tc>
          <w:tcPr>
            <w:tcW w:w="1245" w:type="dxa"/>
            <w:tcBorders>
              <w:top w:val="nil"/>
              <w:bottom w:val="single" w:sz="4" w:space="0" w:color="auto"/>
            </w:tcBorders>
            <w:vAlign w:val="center"/>
            <w:hideMark/>
          </w:tcPr>
          <w:p w14:paraId="44C25D32"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Mean</w:t>
            </w:r>
          </w:p>
        </w:tc>
        <w:tc>
          <w:tcPr>
            <w:tcW w:w="1104" w:type="dxa"/>
            <w:tcBorders>
              <w:top w:val="nil"/>
              <w:bottom w:val="single" w:sz="4" w:space="0" w:color="auto"/>
            </w:tcBorders>
            <w:vAlign w:val="center"/>
            <w:hideMark/>
          </w:tcPr>
          <w:p w14:paraId="6F7E1AA2"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SD</w:t>
            </w:r>
          </w:p>
        </w:tc>
        <w:tc>
          <w:tcPr>
            <w:tcW w:w="1104" w:type="dxa"/>
            <w:tcBorders>
              <w:top w:val="nil"/>
              <w:bottom w:val="single" w:sz="4" w:space="0" w:color="auto"/>
            </w:tcBorders>
            <w:vAlign w:val="center"/>
            <w:hideMark/>
          </w:tcPr>
          <w:p w14:paraId="53D0A007"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Min</w:t>
            </w:r>
          </w:p>
        </w:tc>
        <w:tc>
          <w:tcPr>
            <w:tcW w:w="1104" w:type="dxa"/>
            <w:tcBorders>
              <w:top w:val="nil"/>
              <w:bottom w:val="single" w:sz="4" w:space="0" w:color="auto"/>
            </w:tcBorders>
            <w:vAlign w:val="center"/>
            <w:hideMark/>
          </w:tcPr>
          <w:p w14:paraId="05980B08"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Max</w:t>
            </w:r>
          </w:p>
        </w:tc>
        <w:tc>
          <w:tcPr>
            <w:tcW w:w="1089" w:type="dxa"/>
            <w:tcBorders>
              <w:top w:val="nil"/>
              <w:bottom w:val="single" w:sz="4" w:space="0" w:color="auto"/>
              <w:right w:val="single" w:sz="4" w:space="0" w:color="auto"/>
            </w:tcBorders>
            <w:vAlign w:val="center"/>
            <w:hideMark/>
          </w:tcPr>
          <w:p w14:paraId="34EBE742"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Median</w:t>
            </w:r>
          </w:p>
        </w:tc>
      </w:tr>
      <w:tr w:rsidR="00B16DAB" w:rsidRPr="00507A61" w14:paraId="2C5E71C4" w14:textId="77777777" w:rsidTr="00B16DAB">
        <w:trPr>
          <w:tblCellSpacing w:w="15" w:type="dxa"/>
        </w:trPr>
        <w:tc>
          <w:tcPr>
            <w:tcW w:w="3216" w:type="dxa"/>
            <w:tcBorders>
              <w:left w:val="single" w:sz="4" w:space="0" w:color="auto"/>
            </w:tcBorders>
            <w:vAlign w:val="center"/>
            <w:hideMark/>
          </w:tcPr>
          <w:p w14:paraId="5E635816"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Test Score</w:t>
            </w:r>
          </w:p>
        </w:tc>
        <w:tc>
          <w:tcPr>
            <w:tcW w:w="1245" w:type="dxa"/>
            <w:vAlign w:val="center"/>
            <w:hideMark/>
          </w:tcPr>
          <w:p w14:paraId="24371B96"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79.60</w:t>
            </w:r>
          </w:p>
        </w:tc>
        <w:tc>
          <w:tcPr>
            <w:tcW w:w="1104" w:type="dxa"/>
            <w:vAlign w:val="center"/>
            <w:hideMark/>
          </w:tcPr>
          <w:p w14:paraId="712A09EE"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8.52</w:t>
            </w:r>
          </w:p>
        </w:tc>
        <w:tc>
          <w:tcPr>
            <w:tcW w:w="1104" w:type="dxa"/>
            <w:vAlign w:val="center"/>
            <w:hideMark/>
          </w:tcPr>
          <w:p w14:paraId="74CBD164"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60.6</w:t>
            </w:r>
          </w:p>
        </w:tc>
        <w:tc>
          <w:tcPr>
            <w:tcW w:w="1104" w:type="dxa"/>
            <w:vAlign w:val="center"/>
            <w:hideMark/>
          </w:tcPr>
          <w:p w14:paraId="4A2CD2C0"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99.3</w:t>
            </w:r>
          </w:p>
        </w:tc>
        <w:tc>
          <w:tcPr>
            <w:tcW w:w="1089" w:type="dxa"/>
            <w:tcBorders>
              <w:right w:val="single" w:sz="4" w:space="0" w:color="auto"/>
            </w:tcBorders>
            <w:vAlign w:val="center"/>
            <w:hideMark/>
          </w:tcPr>
          <w:p w14:paraId="349DFF78"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80.6</w:t>
            </w:r>
          </w:p>
        </w:tc>
      </w:tr>
      <w:tr w:rsidR="00B16DAB" w:rsidRPr="00507A61" w14:paraId="0AE7315C" w14:textId="77777777" w:rsidTr="00B16DAB">
        <w:trPr>
          <w:tblCellSpacing w:w="15" w:type="dxa"/>
        </w:trPr>
        <w:tc>
          <w:tcPr>
            <w:tcW w:w="3216" w:type="dxa"/>
            <w:tcBorders>
              <w:left w:val="single" w:sz="4" w:space="0" w:color="auto"/>
            </w:tcBorders>
            <w:vAlign w:val="center"/>
            <w:hideMark/>
          </w:tcPr>
          <w:p w14:paraId="3E3F3782"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Age</w:t>
            </w:r>
          </w:p>
        </w:tc>
        <w:tc>
          <w:tcPr>
            <w:tcW w:w="1245" w:type="dxa"/>
            <w:vAlign w:val="center"/>
            <w:hideMark/>
          </w:tcPr>
          <w:p w14:paraId="1A413EC3"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16.15</w:t>
            </w:r>
          </w:p>
        </w:tc>
        <w:tc>
          <w:tcPr>
            <w:tcW w:w="1104" w:type="dxa"/>
            <w:vAlign w:val="center"/>
            <w:hideMark/>
          </w:tcPr>
          <w:p w14:paraId="54116BB9"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0.84</w:t>
            </w:r>
          </w:p>
        </w:tc>
        <w:tc>
          <w:tcPr>
            <w:tcW w:w="1104" w:type="dxa"/>
            <w:vAlign w:val="center"/>
            <w:hideMark/>
          </w:tcPr>
          <w:p w14:paraId="3B5E6A7B"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15</w:t>
            </w:r>
          </w:p>
        </w:tc>
        <w:tc>
          <w:tcPr>
            <w:tcW w:w="1104" w:type="dxa"/>
            <w:vAlign w:val="center"/>
            <w:hideMark/>
          </w:tcPr>
          <w:p w14:paraId="3027B518"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17</w:t>
            </w:r>
          </w:p>
        </w:tc>
        <w:tc>
          <w:tcPr>
            <w:tcW w:w="1089" w:type="dxa"/>
            <w:tcBorders>
              <w:right w:val="single" w:sz="4" w:space="0" w:color="auto"/>
            </w:tcBorders>
            <w:vAlign w:val="center"/>
            <w:hideMark/>
          </w:tcPr>
          <w:p w14:paraId="7E5B2D56"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16</w:t>
            </w:r>
          </w:p>
        </w:tc>
      </w:tr>
      <w:tr w:rsidR="00B16DAB" w:rsidRPr="00507A61" w14:paraId="2B94184B" w14:textId="77777777" w:rsidTr="00B16DAB">
        <w:trPr>
          <w:tblCellSpacing w:w="15" w:type="dxa"/>
        </w:trPr>
        <w:tc>
          <w:tcPr>
            <w:tcW w:w="3216" w:type="dxa"/>
            <w:tcBorders>
              <w:left w:val="single" w:sz="4" w:space="0" w:color="auto"/>
            </w:tcBorders>
            <w:vAlign w:val="center"/>
            <w:hideMark/>
          </w:tcPr>
          <w:p w14:paraId="625D464D"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Pre-Test Score</w:t>
            </w:r>
          </w:p>
        </w:tc>
        <w:tc>
          <w:tcPr>
            <w:tcW w:w="1245" w:type="dxa"/>
            <w:vAlign w:val="center"/>
            <w:hideMark/>
          </w:tcPr>
          <w:p w14:paraId="2F5ED46F"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71.39</w:t>
            </w:r>
          </w:p>
        </w:tc>
        <w:tc>
          <w:tcPr>
            <w:tcW w:w="1104" w:type="dxa"/>
            <w:vAlign w:val="center"/>
            <w:hideMark/>
          </w:tcPr>
          <w:p w14:paraId="640885B5"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7.47</w:t>
            </w:r>
          </w:p>
        </w:tc>
        <w:tc>
          <w:tcPr>
            <w:tcW w:w="1104" w:type="dxa"/>
            <w:vAlign w:val="center"/>
            <w:hideMark/>
          </w:tcPr>
          <w:p w14:paraId="35FE535C"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58.5</w:t>
            </w:r>
          </w:p>
        </w:tc>
        <w:tc>
          <w:tcPr>
            <w:tcW w:w="1104" w:type="dxa"/>
            <w:vAlign w:val="center"/>
            <w:hideMark/>
          </w:tcPr>
          <w:p w14:paraId="78D0CBC2"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90.3</w:t>
            </w:r>
          </w:p>
        </w:tc>
        <w:tc>
          <w:tcPr>
            <w:tcW w:w="1089" w:type="dxa"/>
            <w:tcBorders>
              <w:right w:val="single" w:sz="4" w:space="0" w:color="auto"/>
            </w:tcBorders>
            <w:vAlign w:val="center"/>
            <w:hideMark/>
          </w:tcPr>
          <w:p w14:paraId="7D25BB6C"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71.6</w:t>
            </w:r>
          </w:p>
        </w:tc>
      </w:tr>
      <w:tr w:rsidR="00B16DAB" w:rsidRPr="00507A61" w14:paraId="3DD6E955" w14:textId="77777777" w:rsidTr="00B16DAB">
        <w:trPr>
          <w:tblCellSpacing w:w="15" w:type="dxa"/>
        </w:trPr>
        <w:tc>
          <w:tcPr>
            <w:tcW w:w="3216" w:type="dxa"/>
            <w:tcBorders>
              <w:left w:val="single" w:sz="4" w:space="0" w:color="auto"/>
            </w:tcBorders>
            <w:vAlign w:val="center"/>
            <w:hideMark/>
          </w:tcPr>
          <w:p w14:paraId="6B74CB09"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Instructor Experience</w:t>
            </w:r>
          </w:p>
        </w:tc>
        <w:tc>
          <w:tcPr>
            <w:tcW w:w="1245" w:type="dxa"/>
            <w:vAlign w:val="center"/>
            <w:hideMark/>
          </w:tcPr>
          <w:p w14:paraId="7A9E17A5"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4.67</w:t>
            </w:r>
          </w:p>
        </w:tc>
        <w:tc>
          <w:tcPr>
            <w:tcW w:w="1104" w:type="dxa"/>
            <w:vAlign w:val="center"/>
            <w:hideMark/>
          </w:tcPr>
          <w:p w14:paraId="1DFE0D0E"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2.67</w:t>
            </w:r>
          </w:p>
        </w:tc>
        <w:tc>
          <w:tcPr>
            <w:tcW w:w="1104" w:type="dxa"/>
            <w:vAlign w:val="center"/>
            <w:hideMark/>
          </w:tcPr>
          <w:p w14:paraId="36478C28"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w:t>
            </w:r>
          </w:p>
        </w:tc>
        <w:tc>
          <w:tcPr>
            <w:tcW w:w="1104" w:type="dxa"/>
            <w:vAlign w:val="center"/>
            <w:hideMark/>
          </w:tcPr>
          <w:p w14:paraId="71D8AB9A"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9</w:t>
            </w:r>
          </w:p>
        </w:tc>
        <w:tc>
          <w:tcPr>
            <w:tcW w:w="1089" w:type="dxa"/>
            <w:tcBorders>
              <w:right w:val="single" w:sz="4" w:space="0" w:color="auto"/>
            </w:tcBorders>
            <w:vAlign w:val="center"/>
            <w:hideMark/>
          </w:tcPr>
          <w:p w14:paraId="203C2151"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5</w:t>
            </w:r>
          </w:p>
        </w:tc>
      </w:tr>
      <w:tr w:rsidR="00B16DAB" w:rsidRPr="00507A61" w14:paraId="0C97DFBC" w14:textId="77777777" w:rsidTr="00B16DAB">
        <w:trPr>
          <w:tblCellSpacing w:w="15" w:type="dxa"/>
        </w:trPr>
        <w:tc>
          <w:tcPr>
            <w:tcW w:w="3216" w:type="dxa"/>
            <w:tcBorders>
              <w:left w:val="single" w:sz="4" w:space="0" w:color="auto"/>
            </w:tcBorders>
            <w:vAlign w:val="center"/>
            <w:hideMark/>
          </w:tcPr>
          <w:p w14:paraId="78C23199"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Class Size</w:t>
            </w:r>
          </w:p>
        </w:tc>
        <w:tc>
          <w:tcPr>
            <w:tcW w:w="1245" w:type="dxa"/>
            <w:vAlign w:val="center"/>
            <w:hideMark/>
          </w:tcPr>
          <w:p w14:paraId="4CF5C4F9"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19.85</w:t>
            </w:r>
          </w:p>
        </w:tc>
        <w:tc>
          <w:tcPr>
            <w:tcW w:w="1104" w:type="dxa"/>
            <w:vAlign w:val="center"/>
            <w:hideMark/>
          </w:tcPr>
          <w:p w14:paraId="0B92712E"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2.93</w:t>
            </w:r>
          </w:p>
        </w:tc>
        <w:tc>
          <w:tcPr>
            <w:tcW w:w="1104" w:type="dxa"/>
            <w:vAlign w:val="center"/>
            <w:hideMark/>
          </w:tcPr>
          <w:p w14:paraId="0C0CBAB2"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15</w:t>
            </w:r>
          </w:p>
        </w:tc>
        <w:tc>
          <w:tcPr>
            <w:tcW w:w="1104" w:type="dxa"/>
            <w:vAlign w:val="center"/>
            <w:hideMark/>
          </w:tcPr>
          <w:p w14:paraId="5F62EEFE"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24</w:t>
            </w:r>
          </w:p>
        </w:tc>
        <w:tc>
          <w:tcPr>
            <w:tcW w:w="1089" w:type="dxa"/>
            <w:tcBorders>
              <w:right w:val="single" w:sz="4" w:space="0" w:color="auto"/>
            </w:tcBorders>
            <w:vAlign w:val="center"/>
            <w:hideMark/>
          </w:tcPr>
          <w:p w14:paraId="7177662E"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20</w:t>
            </w:r>
          </w:p>
        </w:tc>
      </w:tr>
      <w:tr w:rsidR="00B16DAB" w:rsidRPr="00507A61" w14:paraId="241174A5" w14:textId="77777777" w:rsidTr="00B16DAB">
        <w:trPr>
          <w:tblCellSpacing w:w="15" w:type="dxa"/>
        </w:trPr>
        <w:tc>
          <w:tcPr>
            <w:tcW w:w="3216" w:type="dxa"/>
            <w:tcBorders>
              <w:left w:val="single" w:sz="4" w:space="0" w:color="auto"/>
              <w:bottom w:val="nil"/>
            </w:tcBorders>
            <w:vAlign w:val="center"/>
            <w:hideMark/>
          </w:tcPr>
          <w:p w14:paraId="396EEDDD"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Study Time</w:t>
            </w:r>
          </w:p>
        </w:tc>
        <w:tc>
          <w:tcPr>
            <w:tcW w:w="1245" w:type="dxa"/>
            <w:vAlign w:val="center"/>
            <w:hideMark/>
          </w:tcPr>
          <w:p w14:paraId="6FA80475"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10.42</w:t>
            </w:r>
          </w:p>
        </w:tc>
        <w:tc>
          <w:tcPr>
            <w:tcW w:w="1104" w:type="dxa"/>
            <w:vAlign w:val="center"/>
            <w:hideMark/>
          </w:tcPr>
          <w:p w14:paraId="1BC00028"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2.47</w:t>
            </w:r>
          </w:p>
        </w:tc>
        <w:tc>
          <w:tcPr>
            <w:tcW w:w="1104" w:type="dxa"/>
            <w:vAlign w:val="center"/>
            <w:hideMark/>
          </w:tcPr>
          <w:p w14:paraId="2FD2B78E"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4.1</w:t>
            </w:r>
          </w:p>
        </w:tc>
        <w:tc>
          <w:tcPr>
            <w:tcW w:w="1104" w:type="dxa"/>
            <w:vAlign w:val="center"/>
            <w:hideMark/>
          </w:tcPr>
          <w:p w14:paraId="41D87ED4"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16.4</w:t>
            </w:r>
          </w:p>
        </w:tc>
        <w:tc>
          <w:tcPr>
            <w:tcW w:w="1089" w:type="dxa"/>
            <w:tcBorders>
              <w:top w:val="nil"/>
              <w:bottom w:val="nil"/>
              <w:right w:val="single" w:sz="4" w:space="0" w:color="auto"/>
            </w:tcBorders>
            <w:vAlign w:val="center"/>
            <w:hideMark/>
          </w:tcPr>
          <w:p w14:paraId="2986665B"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10.3</w:t>
            </w:r>
          </w:p>
        </w:tc>
      </w:tr>
    </w:tbl>
    <w:p w14:paraId="5A9D4F10" w14:textId="66C380BB" w:rsidR="001E0343" w:rsidRPr="001E0343" w:rsidRDefault="001E0343" w:rsidP="0086547F">
      <w:pPr>
        <w:spacing w:after="120" w:afterAutospacing="0"/>
        <w:outlineLvl w:val="2"/>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The descriptive profile shows a relatively strong cohort (overall M = 79.6, range ≈ 60.6–99.3). Distributions for background variables appear plausible for the context. Balanced group sizes enable fair comparisons across teaching methods.</w:t>
      </w:r>
    </w:p>
    <w:p w14:paraId="1A57FC50" w14:textId="75ABCB25" w:rsidR="00507A61" w:rsidRPr="0015308A" w:rsidRDefault="00507A61" w:rsidP="0086547F">
      <w:pPr>
        <w:spacing w:before="0" w:after="0" w:afterAutospacing="0"/>
        <w:outlineLvl w:val="2"/>
        <w:rPr>
          <w:rFonts w:ascii="Times New Roman" w:eastAsia="Times New Roman" w:hAnsi="Times New Roman" w:cs="Times New Roman"/>
          <w:b/>
          <w:bCs/>
          <w:kern w:val="0"/>
          <w:sz w:val="20"/>
          <w:szCs w:val="20"/>
          <w:lang w:eastAsia="en-GB"/>
          <w14:ligatures w14:val="none"/>
        </w:rPr>
      </w:pPr>
      <w:r w:rsidRPr="0015308A">
        <w:rPr>
          <w:rFonts w:ascii="Times New Roman" w:eastAsia="Times New Roman" w:hAnsi="Times New Roman" w:cs="Times New Roman"/>
          <w:b/>
          <w:bCs/>
          <w:kern w:val="0"/>
          <w:sz w:val="20"/>
          <w:szCs w:val="20"/>
          <w:lang w:eastAsia="en-GB"/>
          <w14:ligatures w14:val="none"/>
        </w:rPr>
        <w:t>2.3 Categorical Variables</w:t>
      </w:r>
    </w:p>
    <w:p w14:paraId="6B0900E0" w14:textId="77777777" w:rsidR="005C724D" w:rsidRPr="005C724D" w:rsidRDefault="005C724D" w:rsidP="005C724D">
      <w:pPr>
        <w:numPr>
          <w:ilvl w:val="0"/>
          <w:numId w:val="21"/>
        </w:numPr>
        <w:spacing w:before="60" w:line="240" w:lineRule="auto"/>
        <w:ind w:left="714" w:hanging="357"/>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Methods: A = 20, B = 20, C = 20</w:t>
      </w:r>
    </w:p>
    <w:p w14:paraId="5373825E" w14:textId="77777777" w:rsidR="005C724D" w:rsidRPr="005C724D" w:rsidRDefault="005C724D" w:rsidP="005C724D">
      <w:pPr>
        <w:numPr>
          <w:ilvl w:val="0"/>
          <w:numId w:val="21"/>
        </w:numPr>
        <w:spacing w:before="100" w:beforeAutospacing="1" w:line="240" w:lineRule="auto"/>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Gender: 33 male, 27 female</w:t>
      </w:r>
    </w:p>
    <w:p w14:paraId="115D26B2" w14:textId="5DFA36AA" w:rsidR="005C724D" w:rsidRPr="005C724D" w:rsidRDefault="005C724D" w:rsidP="005C724D">
      <w:pPr>
        <w:numPr>
          <w:ilvl w:val="0"/>
          <w:numId w:val="21"/>
        </w:numPr>
        <w:spacing w:before="100" w:beforeAutospacing="1" w:after="120" w:afterAutospacing="0" w:line="240" w:lineRule="auto"/>
        <w:ind w:left="714" w:hanging="357"/>
        <w:rPr>
          <w:rFonts w:ascii="Times New Roman" w:eastAsia="Times New Roman" w:hAnsi="Times New Roman" w:cs="Times New Roman"/>
          <w:kern w:val="0"/>
          <w:sz w:val="20"/>
          <w:szCs w:val="20"/>
          <w:lang w:eastAsia="en-GB"/>
          <w14:ligatures w14:val="none"/>
        </w:rPr>
      </w:pPr>
      <w:r w:rsidRPr="005C724D">
        <w:rPr>
          <w:rFonts w:ascii="Times New Roman" w:eastAsia="Times New Roman" w:hAnsi="Times New Roman" w:cs="Times New Roman"/>
          <w:kern w:val="0"/>
          <w:sz w:val="20"/>
          <w:szCs w:val="20"/>
          <w:lang w:eastAsia="en-GB"/>
          <w14:ligatures w14:val="none"/>
        </w:rPr>
        <w:t>Setting: 38 in</w:t>
      </w:r>
      <w:r w:rsidR="00654B01">
        <w:rPr>
          <w:rFonts w:ascii="Times New Roman" w:eastAsia="Times New Roman" w:hAnsi="Times New Roman" w:cs="Times New Roman"/>
          <w:kern w:val="0"/>
          <w:sz w:val="20"/>
          <w:szCs w:val="20"/>
          <w:lang w:eastAsia="en-GB"/>
          <w14:ligatures w14:val="none"/>
        </w:rPr>
        <w:t xml:space="preserve"> </w:t>
      </w:r>
      <w:r w:rsidRPr="005C724D">
        <w:rPr>
          <w:rFonts w:ascii="Times New Roman" w:eastAsia="Times New Roman" w:hAnsi="Times New Roman" w:cs="Times New Roman"/>
          <w:kern w:val="0"/>
          <w:sz w:val="20"/>
          <w:szCs w:val="20"/>
          <w:lang w:eastAsia="en-GB"/>
          <w14:ligatures w14:val="none"/>
        </w:rPr>
        <w:t>person, 22 online</w:t>
      </w:r>
    </w:p>
    <w:p w14:paraId="20B0DDE5" w14:textId="28D0F703" w:rsidR="005C724D" w:rsidRPr="005C724D" w:rsidRDefault="005C724D" w:rsidP="0086547F">
      <w:pPr>
        <w:spacing w:before="0" w:after="60" w:afterAutospacing="0"/>
        <w:outlineLvl w:val="1"/>
        <w:rPr>
          <w:rFonts w:ascii="Times New Roman" w:eastAsia="Times New Roman" w:hAnsi="Times New Roman" w:cs="Times New Roman"/>
          <w:b/>
          <w:bCs/>
          <w:kern w:val="0"/>
          <w:sz w:val="20"/>
          <w:szCs w:val="20"/>
          <w:lang w:eastAsia="en-GB"/>
          <w14:ligatures w14:val="none"/>
        </w:rPr>
      </w:pPr>
      <w:r w:rsidRPr="005C724D">
        <w:rPr>
          <w:rFonts w:ascii="Times New Roman" w:eastAsia="Times New Roman" w:hAnsi="Times New Roman" w:cs="Times New Roman"/>
          <w:b/>
          <w:bCs/>
          <w:kern w:val="0"/>
          <w:sz w:val="20"/>
          <w:szCs w:val="20"/>
          <w:lang w:eastAsia="en-GB"/>
          <w14:ligatures w14:val="none"/>
        </w:rPr>
        <w:t>2.4 Initial interpretation</w:t>
      </w:r>
    </w:p>
    <w:p w14:paraId="2C198E87" w14:textId="77777777" w:rsidR="001E0343" w:rsidRDefault="001E0343" w:rsidP="00654B01">
      <w:pPr>
        <w:spacing w:before="0" w:after="12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Exploratory checks and simple plots suggest that Method C tends to centre higher than A and B. Pre-Test Score appears positively associated with the outcome, hinting that prior achievement is likely to be an important predictor. Variability across classes is typical for this kind of dataset and does not—on its own—imply a problem for the analysis.</w:t>
      </w:r>
    </w:p>
    <w:p w14:paraId="36F65B42" w14:textId="12ADAEDA" w:rsidR="005C724D" w:rsidRPr="005C724D" w:rsidRDefault="005C724D" w:rsidP="0086547F">
      <w:pPr>
        <w:spacing w:before="0" w:after="60" w:afterAutospacing="0"/>
        <w:outlineLvl w:val="1"/>
        <w:rPr>
          <w:rFonts w:ascii="Times New Roman" w:eastAsia="Times New Roman" w:hAnsi="Times New Roman" w:cs="Times New Roman"/>
          <w:b/>
          <w:bCs/>
          <w:kern w:val="0"/>
          <w:sz w:val="20"/>
          <w:szCs w:val="20"/>
          <w:lang w:eastAsia="en-GB"/>
          <w14:ligatures w14:val="none"/>
        </w:rPr>
      </w:pPr>
      <w:r w:rsidRPr="005C724D">
        <w:rPr>
          <w:rFonts w:ascii="Times New Roman" w:eastAsia="Times New Roman" w:hAnsi="Times New Roman" w:cs="Times New Roman"/>
          <w:b/>
          <w:bCs/>
          <w:kern w:val="0"/>
          <w:sz w:val="20"/>
          <w:szCs w:val="20"/>
          <w:lang w:eastAsia="en-GB"/>
          <w14:ligatures w14:val="none"/>
        </w:rPr>
        <w:t>2.5 Assumption checks and analytic rationale</w:t>
      </w:r>
    </w:p>
    <w:p w14:paraId="2A9A6D7A" w14:textId="5291C4F0" w:rsidR="001E0343" w:rsidRDefault="001E0343" w:rsidP="00654B01">
      <w:pPr>
        <w:spacing w:before="0" w:after="12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All modelling decisions were supported by diagnostics. For the ANOVA, distributional shape was reviewed via histograms and Q</w:t>
      </w:r>
      <w:r w:rsidR="00654B01">
        <w:rPr>
          <w:rFonts w:ascii="Times New Roman" w:eastAsia="Times New Roman" w:hAnsi="Times New Roman" w:cs="Times New Roman"/>
          <w:kern w:val="0"/>
          <w:sz w:val="20"/>
          <w:szCs w:val="20"/>
          <w:lang w:eastAsia="en-GB"/>
          <w14:ligatures w14:val="none"/>
        </w:rPr>
        <w:t>-</w:t>
      </w:r>
      <w:r w:rsidRPr="001E0343">
        <w:rPr>
          <w:rFonts w:ascii="Times New Roman" w:eastAsia="Times New Roman" w:hAnsi="Times New Roman" w:cs="Times New Roman"/>
          <w:kern w:val="0"/>
          <w:sz w:val="20"/>
          <w:szCs w:val="20"/>
          <w:lang w:eastAsia="en-GB"/>
          <w14:ligatures w14:val="none"/>
        </w:rPr>
        <w:t>Q plots for each group, complemented by Shapiro</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Wilk tests; Levene’s test was used to assess homogeneity of variance. With equal group sizes, the ANOVA is robust to mild departures from normality, but potential issues were nevertheless monitored. For multiple regression, assumptions of linearity (component</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plus</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residual/partial plots), independence (Durbin</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Watson ~2), normality of residuals (Q</w:t>
      </w:r>
      <w:r w:rsidR="00654B01">
        <w:rPr>
          <w:rFonts w:ascii="Times New Roman" w:eastAsia="Times New Roman" w:hAnsi="Times New Roman" w:cs="Times New Roman"/>
          <w:kern w:val="0"/>
          <w:sz w:val="20"/>
          <w:szCs w:val="20"/>
          <w:lang w:eastAsia="en-GB"/>
          <w14:ligatures w14:val="none"/>
        </w:rPr>
        <w:t>-</w:t>
      </w:r>
      <w:r w:rsidRPr="001E0343">
        <w:rPr>
          <w:rFonts w:ascii="Times New Roman" w:eastAsia="Times New Roman" w:hAnsi="Times New Roman" w:cs="Times New Roman"/>
          <w:kern w:val="0"/>
          <w:sz w:val="20"/>
          <w:szCs w:val="20"/>
          <w:lang w:eastAsia="en-GB"/>
          <w14:ligatures w14:val="none"/>
        </w:rPr>
        <w:t>Q of standardised residuals), and homoscedasticity (residuals vs fitted) were examined. Variance Inflation Factors (VIF) were below 5 for all predictors, indicating no problematic multicollinearity. Where minor deviations were observed, interpretations were cross-checked with bootstrapped confidence intervals for key coefficients to support stability.</w:t>
      </w:r>
    </w:p>
    <w:p w14:paraId="582C0D87" w14:textId="2E130458" w:rsidR="00507A61" w:rsidRPr="00507A61" w:rsidRDefault="00507A61" w:rsidP="0086547F">
      <w:pPr>
        <w:spacing w:before="100" w:beforeAutospacing="1" w:after="60" w:afterAutospacing="0"/>
        <w:outlineLvl w:val="1"/>
        <w:rPr>
          <w:rFonts w:ascii="Times New Roman" w:eastAsia="Times New Roman" w:hAnsi="Times New Roman" w:cs="Times New Roman"/>
          <w:b/>
          <w:bCs/>
          <w:kern w:val="0"/>
          <w:sz w:val="26"/>
          <w:szCs w:val="26"/>
          <w:lang w:eastAsia="en-GB"/>
          <w14:ligatures w14:val="none"/>
        </w:rPr>
      </w:pPr>
      <w:r w:rsidRPr="00507A61">
        <w:rPr>
          <w:rFonts w:ascii="Times New Roman" w:eastAsia="Times New Roman" w:hAnsi="Times New Roman" w:cs="Times New Roman"/>
          <w:b/>
          <w:bCs/>
          <w:kern w:val="0"/>
          <w:sz w:val="26"/>
          <w:szCs w:val="26"/>
          <w:lang w:eastAsia="en-GB"/>
          <w14:ligatures w14:val="none"/>
        </w:rPr>
        <w:t>3. Hypotheses</w:t>
      </w:r>
    </w:p>
    <w:p w14:paraId="2D0FD2AE" w14:textId="77777777" w:rsidR="00507A61" w:rsidRPr="0086547F" w:rsidRDefault="00507A61" w:rsidP="00D1192A">
      <w:pPr>
        <w:spacing w:before="0" w:after="60" w:afterAutospacing="0"/>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Research Question 1: </w:t>
      </w:r>
      <w:r w:rsidRPr="0086547F">
        <w:rPr>
          <w:rFonts w:ascii="Times New Roman" w:eastAsia="Times New Roman" w:hAnsi="Times New Roman" w:cs="Times New Roman"/>
          <w:i/>
          <w:iCs/>
          <w:kern w:val="0"/>
          <w:sz w:val="20"/>
          <w:szCs w:val="20"/>
          <w:lang w:eastAsia="en-GB"/>
          <w14:ligatures w14:val="none"/>
        </w:rPr>
        <w:t>Is there a significant difference in test scores among students taught using different teaching methods?</w:t>
      </w:r>
    </w:p>
    <w:p w14:paraId="5312207F" w14:textId="77777777" w:rsidR="00507A61" w:rsidRPr="0086547F" w:rsidRDefault="00507A61" w:rsidP="00A50E1D">
      <w:pPr>
        <w:numPr>
          <w:ilvl w:val="0"/>
          <w:numId w:val="15"/>
        </w:numPr>
        <w:spacing w:before="0"/>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H₀: Mean test scores do not differ between Methods A, B, and C.</w:t>
      </w:r>
    </w:p>
    <w:p w14:paraId="2CAEDDFE" w14:textId="17B514DF" w:rsidR="00507A61" w:rsidRPr="0086547F" w:rsidRDefault="00507A61" w:rsidP="00D1192A">
      <w:pPr>
        <w:numPr>
          <w:ilvl w:val="0"/>
          <w:numId w:val="15"/>
        </w:numPr>
        <w:spacing w:before="100" w:beforeAutospacing="1" w:after="120" w:afterAutospacing="0"/>
        <w:ind w:left="714" w:hanging="357"/>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H₁: At least one method produces significantly different mean test scores.</w:t>
      </w:r>
    </w:p>
    <w:p w14:paraId="4B8729D2" w14:textId="77777777" w:rsidR="00507A61" w:rsidRPr="0086547F" w:rsidRDefault="00507A61" w:rsidP="00D1192A">
      <w:pPr>
        <w:spacing w:before="0" w:after="60" w:afterAutospacing="0"/>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Research Question 2: </w:t>
      </w:r>
      <w:r w:rsidRPr="0086547F">
        <w:rPr>
          <w:rFonts w:ascii="Times New Roman" w:eastAsia="Times New Roman" w:hAnsi="Times New Roman" w:cs="Times New Roman"/>
          <w:i/>
          <w:iCs/>
          <w:kern w:val="0"/>
          <w:sz w:val="20"/>
          <w:szCs w:val="20"/>
          <w:lang w:eastAsia="en-GB"/>
          <w14:ligatures w14:val="none"/>
        </w:rPr>
        <w:t>How do additional factors influence test scores?</w:t>
      </w:r>
    </w:p>
    <w:p w14:paraId="1B5C413F" w14:textId="77777777" w:rsidR="00507A61" w:rsidRPr="0086547F" w:rsidRDefault="00507A61" w:rsidP="00A50E1D">
      <w:pPr>
        <w:numPr>
          <w:ilvl w:val="0"/>
          <w:numId w:val="16"/>
        </w:numPr>
        <w:spacing w:before="0"/>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H₀: Age, gender, pre-test score, instructor experience, class size, classroom setting, and study time do not significantly predict test score.</w:t>
      </w:r>
    </w:p>
    <w:p w14:paraId="53B00A06" w14:textId="2D69A65C" w:rsidR="00507A61" w:rsidRPr="0086547F" w:rsidRDefault="00507A61" w:rsidP="0086547F">
      <w:pPr>
        <w:numPr>
          <w:ilvl w:val="0"/>
          <w:numId w:val="16"/>
        </w:numPr>
        <w:spacing w:before="100" w:beforeAutospacing="1" w:after="60" w:afterAutospacing="0"/>
        <w:ind w:left="714" w:hanging="357"/>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H₁: At least one predictor significantly influences test score.</w:t>
      </w:r>
    </w:p>
    <w:p w14:paraId="1C3D2A75" w14:textId="037B3EBC" w:rsidR="00507A61" w:rsidRPr="00507A61" w:rsidRDefault="00507A61" w:rsidP="00D1192A">
      <w:pPr>
        <w:spacing w:before="0"/>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The hypotheses were formulated based on descriptive patterns in the data.</w:t>
      </w:r>
    </w:p>
    <w:p w14:paraId="3DBFDC29" w14:textId="77777777" w:rsidR="001E0343" w:rsidRDefault="00507A61" w:rsidP="0086547F">
      <w:pPr>
        <w:spacing w:before="100" w:beforeAutospacing="1" w:after="60" w:afterAutospacing="0"/>
        <w:outlineLvl w:val="1"/>
        <w:rPr>
          <w:rFonts w:ascii="Times New Roman" w:eastAsia="Times New Roman" w:hAnsi="Times New Roman" w:cs="Times New Roman"/>
          <w:b/>
          <w:bCs/>
          <w:kern w:val="0"/>
          <w:sz w:val="26"/>
          <w:szCs w:val="26"/>
          <w:lang w:eastAsia="en-GB"/>
          <w14:ligatures w14:val="none"/>
        </w:rPr>
      </w:pPr>
      <w:r w:rsidRPr="00507A61">
        <w:rPr>
          <w:rFonts w:ascii="Times New Roman" w:eastAsia="Times New Roman" w:hAnsi="Times New Roman" w:cs="Times New Roman"/>
          <w:b/>
          <w:bCs/>
          <w:kern w:val="0"/>
          <w:sz w:val="26"/>
          <w:szCs w:val="26"/>
          <w:lang w:eastAsia="en-GB"/>
          <w14:ligatures w14:val="none"/>
        </w:rPr>
        <w:t>4. Statistical Analysis and Results</w:t>
      </w:r>
    </w:p>
    <w:p w14:paraId="685B40C7" w14:textId="7C0A99EC" w:rsidR="001E0343" w:rsidRPr="001E0343" w:rsidRDefault="001E0343" w:rsidP="0086547F">
      <w:pPr>
        <w:spacing w:before="0" w:after="60" w:afterAutospacing="0"/>
        <w:outlineLvl w:val="1"/>
        <w:rPr>
          <w:rFonts w:ascii="Times New Roman" w:eastAsia="Times New Roman" w:hAnsi="Times New Roman" w:cs="Times New Roman"/>
          <w:b/>
          <w:bCs/>
          <w:kern w:val="0"/>
          <w:sz w:val="20"/>
          <w:szCs w:val="20"/>
          <w:lang w:eastAsia="en-GB"/>
          <w14:ligatures w14:val="none"/>
        </w:rPr>
      </w:pPr>
      <w:r w:rsidRPr="001E0343">
        <w:rPr>
          <w:rFonts w:ascii="Times New Roman" w:eastAsia="Times New Roman" w:hAnsi="Times New Roman" w:cs="Times New Roman"/>
          <w:b/>
          <w:bCs/>
          <w:kern w:val="0"/>
          <w:sz w:val="20"/>
          <w:szCs w:val="20"/>
          <w:lang w:eastAsia="en-GB"/>
          <w14:ligatures w14:val="none"/>
        </w:rPr>
        <w:t>Reporting conventions</w:t>
      </w:r>
    </w:p>
    <w:p w14:paraId="1CB58F53" w14:textId="0FD0F055" w:rsidR="00507A61" w:rsidRPr="001E0343" w:rsidRDefault="001E0343" w:rsidP="00654B01">
      <w:pPr>
        <w:spacing w:before="0" w:after="12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To assist interpretation, results are presented with effect sizes and graphics. For the ANOVA, η² (eta-squared) indicates the proportion of variance in scores attributable to teaching method. For the regression, standardised coefficients (β) and 95% confidence intervals indicate the comparative strength and precision of predictors. Figures are used to communicate distributional patterns and the key linear association, ensuring that numeric results are accompanied by transparent visuals.</w:t>
      </w:r>
    </w:p>
    <w:p w14:paraId="740376E2" w14:textId="69240CC3" w:rsidR="00507A61" w:rsidRPr="0015308A" w:rsidRDefault="00507A61" w:rsidP="0086547F">
      <w:pPr>
        <w:spacing w:before="0" w:after="60" w:afterAutospacing="0"/>
        <w:outlineLvl w:val="2"/>
        <w:rPr>
          <w:rFonts w:ascii="Times New Roman" w:eastAsia="Times New Roman" w:hAnsi="Times New Roman" w:cs="Times New Roman"/>
          <w:b/>
          <w:bCs/>
          <w:kern w:val="0"/>
          <w:sz w:val="20"/>
          <w:szCs w:val="20"/>
          <w:lang w:eastAsia="en-GB"/>
          <w14:ligatures w14:val="none"/>
        </w:rPr>
      </w:pPr>
      <w:r w:rsidRPr="0015308A">
        <w:rPr>
          <w:rFonts w:ascii="Times New Roman" w:eastAsia="Times New Roman" w:hAnsi="Times New Roman" w:cs="Times New Roman"/>
          <w:b/>
          <w:bCs/>
          <w:kern w:val="0"/>
          <w:sz w:val="20"/>
          <w:szCs w:val="20"/>
          <w:lang w:eastAsia="en-GB"/>
          <w14:ligatures w14:val="none"/>
        </w:rPr>
        <w:lastRenderedPageBreak/>
        <w:t>4.1 Teaching Method and Test Scores</w:t>
      </w:r>
    </w:p>
    <w:p w14:paraId="26ACA8E6" w14:textId="3C7EBF72" w:rsidR="001E0343" w:rsidRPr="001E0343" w:rsidRDefault="001E0343" w:rsidP="00654B01">
      <w:pPr>
        <w:spacing w:before="0" w:afterLines="30" w:after="72" w:afterAutospacing="0"/>
        <w:outlineLvl w:val="2"/>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Assumptions for ANOVA were acceptable: Q</w:t>
      </w:r>
      <w:r w:rsidR="0086547F">
        <w:rPr>
          <w:rFonts w:ascii="Times New Roman" w:eastAsia="Times New Roman" w:hAnsi="Times New Roman" w:cs="Times New Roman"/>
          <w:kern w:val="0"/>
          <w:sz w:val="20"/>
          <w:szCs w:val="20"/>
          <w:lang w:eastAsia="en-GB"/>
          <w14:ligatures w14:val="none"/>
        </w:rPr>
        <w:t>-</w:t>
      </w:r>
      <w:r w:rsidRPr="001E0343">
        <w:rPr>
          <w:rFonts w:ascii="Times New Roman" w:eastAsia="Times New Roman" w:hAnsi="Times New Roman" w:cs="Times New Roman"/>
          <w:kern w:val="0"/>
          <w:sz w:val="20"/>
          <w:szCs w:val="20"/>
          <w:lang w:eastAsia="en-GB"/>
          <w14:ligatures w14:val="none"/>
        </w:rPr>
        <w:t>Q plots and Shapiro</w:t>
      </w:r>
      <w:r w:rsidR="0086547F">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 xml:space="preserve">Wilk tests supported approximate normality within groups, and Levene’s test indicated homogeneous variances. A one-way ANOVA detected a significant difference across methods, </w:t>
      </w:r>
      <w:proofErr w:type="gramStart"/>
      <w:r w:rsidRPr="001E0343">
        <w:rPr>
          <w:rFonts w:ascii="Times New Roman" w:eastAsia="Times New Roman" w:hAnsi="Times New Roman" w:cs="Times New Roman"/>
          <w:kern w:val="0"/>
          <w:sz w:val="20"/>
          <w:szCs w:val="20"/>
          <w:lang w:eastAsia="en-GB"/>
          <w14:ligatures w14:val="none"/>
        </w:rPr>
        <w:t>F(</w:t>
      </w:r>
      <w:proofErr w:type="gramEnd"/>
      <w:r w:rsidRPr="001E0343">
        <w:rPr>
          <w:rFonts w:ascii="Times New Roman" w:eastAsia="Times New Roman" w:hAnsi="Times New Roman" w:cs="Times New Roman"/>
          <w:kern w:val="0"/>
          <w:sz w:val="20"/>
          <w:szCs w:val="20"/>
          <w:lang w:eastAsia="en-GB"/>
          <w14:ligatures w14:val="none"/>
        </w:rPr>
        <w:t>2,57) = 6.13, p = .0039. Post-hoc Tukey tests showed that Method C outperformed Method A (p &lt; .05) and Method B (p &lt; .01); the A–B contrast was not significant.</w:t>
      </w:r>
    </w:p>
    <w:p w14:paraId="29DCC390" w14:textId="791B6EBF" w:rsidR="001E0343" w:rsidRPr="001E0343" w:rsidRDefault="001E0343" w:rsidP="00654B01">
      <w:pPr>
        <w:spacing w:before="0" w:afterLines="30" w:after="72" w:afterAutospacing="0"/>
        <w:outlineLvl w:val="2"/>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 xml:space="preserve">Effect size and practical meaning. The method effect was moderate </w:t>
      </w:r>
      <w:r w:rsidR="000E446C" w:rsidRPr="000E446C">
        <w:rPr>
          <w:rFonts w:ascii="Times New Roman" w:eastAsia="Times New Roman" w:hAnsi="Times New Roman" w:cs="Times New Roman"/>
          <w:kern w:val="0"/>
          <w:sz w:val="20"/>
          <w:szCs w:val="20"/>
          <w:lang w:eastAsia="en-GB"/>
          <w14:ligatures w14:val="none"/>
        </w:rPr>
        <w:t>(η² = 0.18)</w:t>
      </w:r>
      <w:r w:rsidRPr="001E0343">
        <w:rPr>
          <w:rFonts w:ascii="Times New Roman" w:eastAsia="Times New Roman" w:hAnsi="Times New Roman" w:cs="Times New Roman"/>
          <w:kern w:val="0"/>
          <w:sz w:val="20"/>
          <w:szCs w:val="20"/>
          <w:lang w:eastAsia="en-GB"/>
          <w14:ligatures w14:val="none"/>
        </w:rPr>
        <w:t>, indicating that a meaningful share of variance in Test Scores is linked to instructional approach. Pedagogically, moving from Method A or B to Method C is comparable to lifting an average student from a mid-B to a higher band, which is substantial in a short instructional window.</w:t>
      </w:r>
    </w:p>
    <w:p w14:paraId="5552591B" w14:textId="77777777" w:rsidR="001E0343" w:rsidRDefault="001E0343" w:rsidP="00654B01">
      <w:pPr>
        <w:spacing w:before="0" w:afterLines="30" w:after="72" w:afterAutospacing="0"/>
        <w:outlineLvl w:val="2"/>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As illustrated in Figure 1, Method C’s distribution centres higher with slightly less spread, whereas Methods A and B show lower medians and greater variability. The figure supports the inferential results by showing both the central tendency and the dispersion for each group.</w:t>
      </w:r>
    </w:p>
    <w:p w14:paraId="627BD90C" w14:textId="6657E753" w:rsidR="00767889" w:rsidRPr="00767889" w:rsidRDefault="00767889" w:rsidP="001E0343">
      <w:pPr>
        <w:spacing w:before="0" w:afterLines="60" w:after="144" w:afterAutospacing="0"/>
        <w:jc w:val="center"/>
        <w:outlineLvl w:val="2"/>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noProof/>
          <w:kern w:val="0"/>
          <w:sz w:val="20"/>
          <w:szCs w:val="20"/>
          <w:lang w:eastAsia="en-GB"/>
        </w:rPr>
        <w:drawing>
          <wp:inline distT="0" distB="0" distL="0" distR="0" wp14:anchorId="0D0264D4" wp14:editId="7C40920E">
            <wp:extent cx="3780209" cy="2520000"/>
            <wp:effectExtent l="0" t="0" r="4445" b="0"/>
            <wp:docPr id="468111414" name="Picture 2" descr="Several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11414" name="Picture 2" descr="Several different types of objec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0209" cy="2520000"/>
                    </a:xfrm>
                    <a:prstGeom prst="rect">
                      <a:avLst/>
                    </a:prstGeom>
                  </pic:spPr>
                </pic:pic>
              </a:graphicData>
            </a:graphic>
          </wp:inline>
        </w:drawing>
      </w:r>
    </w:p>
    <w:p w14:paraId="2D27CE6D" w14:textId="77777777" w:rsidR="007D5896" w:rsidRPr="007D5896" w:rsidRDefault="007D5896" w:rsidP="007D5896">
      <w:pPr>
        <w:spacing w:before="0" w:afterLines="60" w:after="144" w:afterAutospacing="0"/>
        <w:jc w:val="center"/>
        <w:outlineLvl w:val="2"/>
        <w:rPr>
          <w:rFonts w:ascii="Times New Roman" w:eastAsia="Times New Roman" w:hAnsi="Times New Roman" w:cs="Times New Roman"/>
          <w:i/>
          <w:iCs/>
          <w:kern w:val="0"/>
          <w:sz w:val="16"/>
          <w:szCs w:val="16"/>
          <w:lang w:eastAsia="en-GB"/>
          <w14:ligatures w14:val="none"/>
        </w:rPr>
      </w:pPr>
      <w:r w:rsidRPr="007D5896">
        <w:rPr>
          <w:rFonts w:ascii="Times New Roman" w:eastAsia="Times New Roman" w:hAnsi="Times New Roman" w:cs="Times New Roman"/>
          <w:i/>
          <w:iCs/>
          <w:kern w:val="0"/>
          <w:sz w:val="16"/>
          <w:szCs w:val="16"/>
          <w:lang w:eastAsia="en-GB"/>
          <w14:ligatures w14:val="none"/>
        </w:rPr>
        <w:t>Figure 1. Boxplot of student test scores by teaching method (A, B, C), showing medians, individual student scores, and outliers.</w:t>
      </w:r>
    </w:p>
    <w:p w14:paraId="285333C9" w14:textId="357D90C6" w:rsidR="00507A61" w:rsidRPr="0015308A" w:rsidRDefault="00507A61" w:rsidP="00654B01">
      <w:pPr>
        <w:spacing w:afterLines="30" w:after="72" w:afterAutospacing="0"/>
        <w:outlineLvl w:val="2"/>
        <w:rPr>
          <w:rFonts w:ascii="Times New Roman" w:eastAsia="Times New Roman" w:hAnsi="Times New Roman" w:cs="Times New Roman"/>
          <w:b/>
          <w:bCs/>
          <w:kern w:val="0"/>
          <w:sz w:val="20"/>
          <w:szCs w:val="20"/>
          <w:lang w:eastAsia="en-GB"/>
          <w14:ligatures w14:val="none"/>
        </w:rPr>
      </w:pPr>
      <w:r w:rsidRPr="0015308A">
        <w:rPr>
          <w:rFonts w:ascii="Times New Roman" w:eastAsia="Times New Roman" w:hAnsi="Times New Roman" w:cs="Times New Roman"/>
          <w:b/>
          <w:bCs/>
          <w:kern w:val="0"/>
          <w:sz w:val="20"/>
          <w:szCs w:val="20"/>
          <w:lang w:eastAsia="en-GB"/>
          <w14:ligatures w14:val="none"/>
        </w:rPr>
        <w:t>4.2 Influence of Additional Factors</w:t>
      </w:r>
    </w:p>
    <w:p w14:paraId="2AB50C33" w14:textId="77777777" w:rsidR="001E0343" w:rsidRDefault="001E0343" w:rsidP="00654B01">
      <w:pPr>
        <w:spacing w:before="0" w:afterLines="30" w:after="72" w:afterAutospacing="0"/>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 xml:space="preserve">A multiple regression model was used to estimate how seven predictors relate to final performance. The model was statistically significant, R² = .533, Adjusted R² = .470, </w:t>
      </w:r>
      <w:proofErr w:type="gramStart"/>
      <w:r w:rsidRPr="001E0343">
        <w:rPr>
          <w:rFonts w:ascii="Times New Roman" w:eastAsia="Times New Roman" w:hAnsi="Times New Roman" w:cs="Times New Roman"/>
          <w:kern w:val="0"/>
          <w:sz w:val="20"/>
          <w:szCs w:val="20"/>
          <w:lang w:eastAsia="en-GB"/>
          <w14:ligatures w14:val="none"/>
        </w:rPr>
        <w:t>F(</w:t>
      </w:r>
      <w:proofErr w:type="gramEnd"/>
      <w:r w:rsidRPr="001E0343">
        <w:rPr>
          <w:rFonts w:ascii="Times New Roman" w:eastAsia="Times New Roman" w:hAnsi="Times New Roman" w:cs="Times New Roman"/>
          <w:kern w:val="0"/>
          <w:sz w:val="20"/>
          <w:szCs w:val="20"/>
          <w:lang w:eastAsia="en-GB"/>
          <w14:ligatures w14:val="none"/>
        </w:rPr>
        <w:t>7,52) = 8.47, p &lt; .001. Detailed coefficients are reported below.</w:t>
      </w:r>
    </w:p>
    <w:p w14:paraId="7124A180" w14:textId="01B227FF" w:rsidR="0015308A" w:rsidRPr="00507A61" w:rsidRDefault="00D1192A" w:rsidP="004E2D23">
      <w:pPr>
        <w:spacing w:afterLines="30" w:after="72" w:afterAutospacing="0"/>
        <w:jc w:val="center"/>
        <w:rPr>
          <w:rFonts w:ascii="Times New Roman" w:eastAsia="Times New Roman" w:hAnsi="Times New Roman" w:cs="Times New Roman"/>
          <w:kern w:val="0"/>
          <w:sz w:val="18"/>
          <w:szCs w:val="18"/>
          <w:lang w:eastAsia="en-GB"/>
          <w14:ligatures w14:val="none"/>
        </w:rPr>
      </w:pPr>
      <w:r w:rsidRPr="00D1192A">
        <w:rPr>
          <w:rFonts w:ascii="Times New Roman" w:eastAsia="Times New Roman" w:hAnsi="Times New Roman" w:cs="Times New Roman"/>
          <w:kern w:val="0"/>
          <w:sz w:val="18"/>
          <w:szCs w:val="18"/>
          <w:lang w:eastAsia="en-GB"/>
          <w14:ligatures w14:val="none"/>
        </w:rPr>
        <w:t>Table 2</w:t>
      </w:r>
      <w:r w:rsidR="004E2D23">
        <w:rPr>
          <w:rFonts w:ascii="Times New Roman" w:eastAsia="Times New Roman" w:hAnsi="Times New Roman" w:cs="Times New Roman"/>
          <w:kern w:val="0"/>
          <w:sz w:val="18"/>
          <w:szCs w:val="18"/>
          <w:lang w:eastAsia="en-GB"/>
          <w14:ligatures w14:val="none"/>
        </w:rPr>
        <w:br/>
      </w:r>
      <w:r w:rsidR="006002A9" w:rsidRPr="006002A9">
        <w:rPr>
          <w:rFonts w:ascii="Times New Roman" w:eastAsia="Times New Roman" w:hAnsi="Times New Roman" w:cs="Times New Roman"/>
          <w:kern w:val="0"/>
          <w:sz w:val="18"/>
          <w:szCs w:val="18"/>
          <w:lang w:eastAsia="en-GB"/>
          <w14:ligatures w14:val="none"/>
        </w:rPr>
        <w:t>Multiple regression results predicting final test scores (N = 60)</w:t>
      </w:r>
      <w:r w:rsidRPr="00D1192A">
        <w:rPr>
          <w:rFonts w:ascii="Times New Roman" w:eastAsia="Times New Roman" w:hAnsi="Times New Roman" w:cs="Times New Roman"/>
          <w:kern w:val="0"/>
          <w:sz w:val="18"/>
          <w:szCs w:val="18"/>
          <w:lang w:eastAsia="en-GB"/>
          <w14:ligatures w14:val="none"/>
        </w:rPr>
        <w:t>.</w:t>
      </w: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2405"/>
        <w:gridCol w:w="1134"/>
        <w:gridCol w:w="992"/>
        <w:gridCol w:w="1134"/>
        <w:gridCol w:w="3402"/>
      </w:tblGrid>
      <w:tr w:rsidR="00B16DAB" w:rsidRPr="00507A61" w14:paraId="045BEBA0" w14:textId="77777777" w:rsidTr="00B16DAB">
        <w:trPr>
          <w:tblHeader/>
          <w:tblCellSpacing w:w="15" w:type="dxa"/>
        </w:trPr>
        <w:tc>
          <w:tcPr>
            <w:tcW w:w="2360" w:type="dxa"/>
            <w:tcBorders>
              <w:top w:val="single" w:sz="4" w:space="0" w:color="auto"/>
              <w:left w:val="single" w:sz="4" w:space="0" w:color="auto"/>
              <w:bottom w:val="single" w:sz="4" w:space="0" w:color="auto"/>
            </w:tcBorders>
            <w:vAlign w:val="center"/>
            <w:hideMark/>
          </w:tcPr>
          <w:p w14:paraId="4B9C4A56"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Predictor</w:t>
            </w:r>
          </w:p>
        </w:tc>
        <w:tc>
          <w:tcPr>
            <w:tcW w:w="1104" w:type="dxa"/>
            <w:tcBorders>
              <w:top w:val="single" w:sz="4" w:space="0" w:color="auto"/>
              <w:bottom w:val="single" w:sz="4" w:space="0" w:color="auto"/>
            </w:tcBorders>
            <w:vAlign w:val="center"/>
            <w:hideMark/>
          </w:tcPr>
          <w:p w14:paraId="45DCAB38"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β (coef.)</w:t>
            </w:r>
          </w:p>
        </w:tc>
        <w:tc>
          <w:tcPr>
            <w:tcW w:w="962" w:type="dxa"/>
            <w:tcBorders>
              <w:top w:val="single" w:sz="4" w:space="0" w:color="auto"/>
              <w:bottom w:val="single" w:sz="4" w:space="0" w:color="auto"/>
            </w:tcBorders>
            <w:vAlign w:val="center"/>
            <w:hideMark/>
          </w:tcPr>
          <w:p w14:paraId="3DA1655A"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t</w:t>
            </w:r>
          </w:p>
        </w:tc>
        <w:tc>
          <w:tcPr>
            <w:tcW w:w="1104" w:type="dxa"/>
            <w:tcBorders>
              <w:top w:val="single" w:sz="4" w:space="0" w:color="auto"/>
              <w:bottom w:val="single" w:sz="4" w:space="0" w:color="auto"/>
            </w:tcBorders>
            <w:vAlign w:val="center"/>
            <w:hideMark/>
          </w:tcPr>
          <w:p w14:paraId="73B9F7A6"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p-value</w:t>
            </w:r>
          </w:p>
        </w:tc>
        <w:tc>
          <w:tcPr>
            <w:tcW w:w="3357" w:type="dxa"/>
            <w:tcBorders>
              <w:top w:val="single" w:sz="4" w:space="0" w:color="auto"/>
              <w:bottom w:val="single" w:sz="4" w:space="0" w:color="auto"/>
              <w:right w:val="single" w:sz="4" w:space="0" w:color="auto"/>
            </w:tcBorders>
            <w:vAlign w:val="center"/>
            <w:hideMark/>
          </w:tcPr>
          <w:p w14:paraId="405E7FDC" w14:textId="77777777" w:rsidR="00507A61" w:rsidRPr="00507A61" w:rsidRDefault="00507A61" w:rsidP="00507A61">
            <w:pPr>
              <w:spacing w:before="100" w:beforeAutospacing="1"/>
              <w:jc w:val="center"/>
              <w:rPr>
                <w:rFonts w:ascii="Times New Roman" w:eastAsia="Times New Roman" w:hAnsi="Times New Roman" w:cs="Times New Roman"/>
                <w:b/>
                <w:bCs/>
                <w:kern w:val="0"/>
                <w:sz w:val="20"/>
                <w:szCs w:val="20"/>
                <w:lang w:eastAsia="en-GB"/>
                <w14:ligatures w14:val="none"/>
              </w:rPr>
            </w:pPr>
            <w:r w:rsidRPr="00507A61">
              <w:rPr>
                <w:rFonts w:ascii="Times New Roman" w:eastAsia="Times New Roman" w:hAnsi="Times New Roman" w:cs="Times New Roman"/>
                <w:b/>
                <w:bCs/>
                <w:kern w:val="0"/>
                <w:sz w:val="20"/>
                <w:szCs w:val="20"/>
                <w:lang w:eastAsia="en-GB"/>
                <w14:ligatures w14:val="none"/>
              </w:rPr>
              <w:t>Interpretation</w:t>
            </w:r>
          </w:p>
        </w:tc>
      </w:tr>
      <w:tr w:rsidR="00B16DAB" w:rsidRPr="00507A61" w14:paraId="3517CC72" w14:textId="77777777" w:rsidTr="00B16DAB">
        <w:trPr>
          <w:tblCellSpacing w:w="15" w:type="dxa"/>
        </w:trPr>
        <w:tc>
          <w:tcPr>
            <w:tcW w:w="2360" w:type="dxa"/>
            <w:tcBorders>
              <w:left w:val="single" w:sz="4" w:space="0" w:color="auto"/>
            </w:tcBorders>
            <w:vAlign w:val="center"/>
            <w:hideMark/>
          </w:tcPr>
          <w:p w14:paraId="556AFE4A"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Pre-Test Score</w:t>
            </w:r>
          </w:p>
        </w:tc>
        <w:tc>
          <w:tcPr>
            <w:tcW w:w="1104" w:type="dxa"/>
            <w:vAlign w:val="center"/>
            <w:hideMark/>
          </w:tcPr>
          <w:p w14:paraId="04AA3A53"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0.45</w:t>
            </w:r>
          </w:p>
        </w:tc>
        <w:tc>
          <w:tcPr>
            <w:tcW w:w="962" w:type="dxa"/>
            <w:vAlign w:val="center"/>
            <w:hideMark/>
          </w:tcPr>
          <w:p w14:paraId="118C22AD"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3.82</w:t>
            </w:r>
          </w:p>
        </w:tc>
        <w:tc>
          <w:tcPr>
            <w:tcW w:w="1104" w:type="dxa"/>
            <w:vAlign w:val="center"/>
            <w:hideMark/>
          </w:tcPr>
          <w:p w14:paraId="481AF3E1"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&lt;0.001</w:t>
            </w:r>
          </w:p>
        </w:tc>
        <w:tc>
          <w:tcPr>
            <w:tcW w:w="3357" w:type="dxa"/>
            <w:tcBorders>
              <w:right w:val="single" w:sz="4" w:space="0" w:color="auto"/>
            </w:tcBorders>
            <w:vAlign w:val="center"/>
            <w:hideMark/>
          </w:tcPr>
          <w:p w14:paraId="4D0ADEF2"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Strong positive predictor.</w:t>
            </w:r>
          </w:p>
        </w:tc>
      </w:tr>
      <w:tr w:rsidR="00B16DAB" w:rsidRPr="00507A61" w14:paraId="722A5849" w14:textId="77777777" w:rsidTr="00B16DAB">
        <w:trPr>
          <w:tblCellSpacing w:w="15" w:type="dxa"/>
        </w:trPr>
        <w:tc>
          <w:tcPr>
            <w:tcW w:w="2360" w:type="dxa"/>
            <w:tcBorders>
              <w:left w:val="single" w:sz="4" w:space="0" w:color="auto"/>
            </w:tcBorders>
            <w:vAlign w:val="center"/>
            <w:hideMark/>
          </w:tcPr>
          <w:p w14:paraId="6D0B05C8"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Instructor Experience</w:t>
            </w:r>
          </w:p>
        </w:tc>
        <w:tc>
          <w:tcPr>
            <w:tcW w:w="1104" w:type="dxa"/>
            <w:vAlign w:val="center"/>
            <w:hideMark/>
          </w:tcPr>
          <w:p w14:paraId="5AE9B7B9"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0.92</w:t>
            </w:r>
          </w:p>
        </w:tc>
        <w:tc>
          <w:tcPr>
            <w:tcW w:w="962" w:type="dxa"/>
            <w:vAlign w:val="center"/>
            <w:hideMark/>
          </w:tcPr>
          <w:p w14:paraId="533A2DF7"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2.99</w:t>
            </w:r>
          </w:p>
        </w:tc>
        <w:tc>
          <w:tcPr>
            <w:tcW w:w="1104" w:type="dxa"/>
            <w:vAlign w:val="center"/>
            <w:hideMark/>
          </w:tcPr>
          <w:p w14:paraId="7A023CEF"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0.004</w:t>
            </w:r>
          </w:p>
        </w:tc>
        <w:tc>
          <w:tcPr>
            <w:tcW w:w="3357" w:type="dxa"/>
            <w:tcBorders>
              <w:right w:val="single" w:sz="4" w:space="0" w:color="auto"/>
            </w:tcBorders>
            <w:vAlign w:val="center"/>
            <w:hideMark/>
          </w:tcPr>
          <w:p w14:paraId="42E8A5B8"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Positive predictor.</w:t>
            </w:r>
          </w:p>
        </w:tc>
      </w:tr>
      <w:tr w:rsidR="00B16DAB" w:rsidRPr="00507A61" w14:paraId="40295337" w14:textId="77777777" w:rsidTr="00B16DAB">
        <w:trPr>
          <w:tblCellSpacing w:w="15" w:type="dxa"/>
        </w:trPr>
        <w:tc>
          <w:tcPr>
            <w:tcW w:w="2360" w:type="dxa"/>
            <w:tcBorders>
              <w:left w:val="single" w:sz="4" w:space="0" w:color="auto"/>
            </w:tcBorders>
            <w:vAlign w:val="center"/>
            <w:hideMark/>
          </w:tcPr>
          <w:p w14:paraId="5D89DD8E"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Classroom Setting (Online)</w:t>
            </w:r>
          </w:p>
        </w:tc>
        <w:tc>
          <w:tcPr>
            <w:tcW w:w="1104" w:type="dxa"/>
            <w:vAlign w:val="center"/>
            <w:hideMark/>
          </w:tcPr>
          <w:p w14:paraId="0D058627"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-5.20</w:t>
            </w:r>
          </w:p>
        </w:tc>
        <w:tc>
          <w:tcPr>
            <w:tcW w:w="962" w:type="dxa"/>
            <w:vAlign w:val="center"/>
            <w:hideMark/>
          </w:tcPr>
          <w:p w14:paraId="27F8396C"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-2.93</w:t>
            </w:r>
          </w:p>
        </w:tc>
        <w:tc>
          <w:tcPr>
            <w:tcW w:w="1104" w:type="dxa"/>
            <w:vAlign w:val="center"/>
            <w:hideMark/>
          </w:tcPr>
          <w:p w14:paraId="78BFA100"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0.005</w:t>
            </w:r>
          </w:p>
        </w:tc>
        <w:tc>
          <w:tcPr>
            <w:tcW w:w="3357" w:type="dxa"/>
            <w:tcBorders>
              <w:right w:val="single" w:sz="4" w:space="0" w:color="auto"/>
            </w:tcBorders>
            <w:vAlign w:val="center"/>
            <w:hideMark/>
          </w:tcPr>
          <w:p w14:paraId="6A9062C0"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Online associated with lower scores.</w:t>
            </w:r>
          </w:p>
        </w:tc>
      </w:tr>
      <w:tr w:rsidR="00B16DAB" w:rsidRPr="00507A61" w14:paraId="1BD00CD2" w14:textId="77777777" w:rsidTr="00B16DAB">
        <w:trPr>
          <w:tblCellSpacing w:w="15" w:type="dxa"/>
        </w:trPr>
        <w:tc>
          <w:tcPr>
            <w:tcW w:w="2360" w:type="dxa"/>
            <w:tcBorders>
              <w:left w:val="single" w:sz="4" w:space="0" w:color="auto"/>
            </w:tcBorders>
            <w:vAlign w:val="center"/>
            <w:hideMark/>
          </w:tcPr>
          <w:p w14:paraId="0C6A3B4D"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Study Time</w:t>
            </w:r>
          </w:p>
        </w:tc>
        <w:tc>
          <w:tcPr>
            <w:tcW w:w="1104" w:type="dxa"/>
            <w:vAlign w:val="center"/>
            <w:hideMark/>
          </w:tcPr>
          <w:p w14:paraId="6271B60A"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0.54</w:t>
            </w:r>
          </w:p>
        </w:tc>
        <w:tc>
          <w:tcPr>
            <w:tcW w:w="962" w:type="dxa"/>
            <w:vAlign w:val="center"/>
            <w:hideMark/>
          </w:tcPr>
          <w:p w14:paraId="3F6178E5"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1.58</w:t>
            </w:r>
          </w:p>
        </w:tc>
        <w:tc>
          <w:tcPr>
            <w:tcW w:w="1104" w:type="dxa"/>
            <w:vAlign w:val="center"/>
            <w:hideMark/>
          </w:tcPr>
          <w:p w14:paraId="1967CC2D"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0.120</w:t>
            </w:r>
          </w:p>
        </w:tc>
        <w:tc>
          <w:tcPr>
            <w:tcW w:w="3357" w:type="dxa"/>
            <w:tcBorders>
              <w:right w:val="single" w:sz="4" w:space="0" w:color="auto"/>
            </w:tcBorders>
            <w:vAlign w:val="center"/>
            <w:hideMark/>
          </w:tcPr>
          <w:p w14:paraId="3E108BCD"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Trend, not significant.</w:t>
            </w:r>
          </w:p>
        </w:tc>
      </w:tr>
      <w:tr w:rsidR="00B16DAB" w:rsidRPr="00507A61" w14:paraId="56E8AFCA" w14:textId="77777777" w:rsidTr="00B16DAB">
        <w:trPr>
          <w:tblCellSpacing w:w="15" w:type="dxa"/>
        </w:trPr>
        <w:tc>
          <w:tcPr>
            <w:tcW w:w="2360" w:type="dxa"/>
            <w:tcBorders>
              <w:left w:val="single" w:sz="4" w:space="0" w:color="auto"/>
            </w:tcBorders>
            <w:vAlign w:val="center"/>
            <w:hideMark/>
          </w:tcPr>
          <w:p w14:paraId="1788837F"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Age</w:t>
            </w:r>
          </w:p>
        </w:tc>
        <w:tc>
          <w:tcPr>
            <w:tcW w:w="1104" w:type="dxa"/>
            <w:vAlign w:val="center"/>
            <w:hideMark/>
          </w:tcPr>
          <w:p w14:paraId="6B29633F"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0.64</w:t>
            </w:r>
          </w:p>
        </w:tc>
        <w:tc>
          <w:tcPr>
            <w:tcW w:w="962" w:type="dxa"/>
            <w:vAlign w:val="center"/>
            <w:hideMark/>
          </w:tcPr>
          <w:p w14:paraId="2DD14600"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0.63</w:t>
            </w:r>
          </w:p>
        </w:tc>
        <w:tc>
          <w:tcPr>
            <w:tcW w:w="1104" w:type="dxa"/>
            <w:vAlign w:val="center"/>
            <w:hideMark/>
          </w:tcPr>
          <w:p w14:paraId="507726DF"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0.534</w:t>
            </w:r>
          </w:p>
        </w:tc>
        <w:tc>
          <w:tcPr>
            <w:tcW w:w="3357" w:type="dxa"/>
            <w:tcBorders>
              <w:right w:val="single" w:sz="4" w:space="0" w:color="auto"/>
            </w:tcBorders>
            <w:vAlign w:val="center"/>
            <w:hideMark/>
          </w:tcPr>
          <w:p w14:paraId="061B0DAF"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Not significant.</w:t>
            </w:r>
          </w:p>
        </w:tc>
      </w:tr>
      <w:tr w:rsidR="00B16DAB" w:rsidRPr="00507A61" w14:paraId="50C34377" w14:textId="77777777" w:rsidTr="00B16DAB">
        <w:trPr>
          <w:tblCellSpacing w:w="15" w:type="dxa"/>
        </w:trPr>
        <w:tc>
          <w:tcPr>
            <w:tcW w:w="2360" w:type="dxa"/>
            <w:tcBorders>
              <w:left w:val="single" w:sz="4" w:space="0" w:color="auto"/>
            </w:tcBorders>
            <w:vAlign w:val="center"/>
            <w:hideMark/>
          </w:tcPr>
          <w:p w14:paraId="37ACC195"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Gender (Male)</w:t>
            </w:r>
          </w:p>
        </w:tc>
        <w:tc>
          <w:tcPr>
            <w:tcW w:w="1104" w:type="dxa"/>
            <w:vAlign w:val="center"/>
            <w:hideMark/>
          </w:tcPr>
          <w:p w14:paraId="798B4BDD"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2.09</w:t>
            </w:r>
          </w:p>
        </w:tc>
        <w:tc>
          <w:tcPr>
            <w:tcW w:w="962" w:type="dxa"/>
            <w:vAlign w:val="center"/>
            <w:hideMark/>
          </w:tcPr>
          <w:p w14:paraId="6FEA5C36"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1.23</w:t>
            </w:r>
          </w:p>
        </w:tc>
        <w:tc>
          <w:tcPr>
            <w:tcW w:w="1104" w:type="dxa"/>
            <w:vAlign w:val="center"/>
            <w:hideMark/>
          </w:tcPr>
          <w:p w14:paraId="0CE07849"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0.223</w:t>
            </w:r>
          </w:p>
        </w:tc>
        <w:tc>
          <w:tcPr>
            <w:tcW w:w="3357" w:type="dxa"/>
            <w:tcBorders>
              <w:right w:val="single" w:sz="4" w:space="0" w:color="auto"/>
            </w:tcBorders>
            <w:vAlign w:val="center"/>
            <w:hideMark/>
          </w:tcPr>
          <w:p w14:paraId="1A7334F4"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Not significant.</w:t>
            </w:r>
          </w:p>
        </w:tc>
      </w:tr>
      <w:tr w:rsidR="00B16DAB" w:rsidRPr="00507A61" w14:paraId="5BA64BA0" w14:textId="77777777" w:rsidTr="00B16DAB">
        <w:trPr>
          <w:tblCellSpacing w:w="15" w:type="dxa"/>
        </w:trPr>
        <w:tc>
          <w:tcPr>
            <w:tcW w:w="2360" w:type="dxa"/>
            <w:tcBorders>
              <w:left w:val="single" w:sz="4" w:space="0" w:color="auto"/>
              <w:bottom w:val="single" w:sz="4" w:space="0" w:color="auto"/>
            </w:tcBorders>
            <w:vAlign w:val="center"/>
            <w:hideMark/>
          </w:tcPr>
          <w:p w14:paraId="6E00095D"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Class Size</w:t>
            </w:r>
          </w:p>
        </w:tc>
        <w:tc>
          <w:tcPr>
            <w:tcW w:w="1104" w:type="dxa"/>
            <w:tcBorders>
              <w:bottom w:val="single" w:sz="4" w:space="0" w:color="auto"/>
            </w:tcBorders>
            <w:vAlign w:val="center"/>
            <w:hideMark/>
          </w:tcPr>
          <w:p w14:paraId="12742C86"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-0.56</w:t>
            </w:r>
          </w:p>
        </w:tc>
        <w:tc>
          <w:tcPr>
            <w:tcW w:w="962" w:type="dxa"/>
            <w:tcBorders>
              <w:bottom w:val="single" w:sz="4" w:space="0" w:color="auto"/>
            </w:tcBorders>
            <w:vAlign w:val="center"/>
            <w:hideMark/>
          </w:tcPr>
          <w:p w14:paraId="0DDCCE33"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-1.86</w:t>
            </w:r>
          </w:p>
        </w:tc>
        <w:tc>
          <w:tcPr>
            <w:tcW w:w="1104" w:type="dxa"/>
            <w:tcBorders>
              <w:bottom w:val="single" w:sz="4" w:space="0" w:color="auto"/>
            </w:tcBorders>
            <w:vAlign w:val="center"/>
            <w:hideMark/>
          </w:tcPr>
          <w:p w14:paraId="6ADF32DF" w14:textId="77777777" w:rsidR="00507A61" w:rsidRPr="00507A61" w:rsidRDefault="00507A61" w:rsidP="00B16DAB">
            <w:pPr>
              <w:spacing w:before="100" w:beforeAutospacing="1"/>
              <w:jc w:val="center"/>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0.068</w:t>
            </w:r>
          </w:p>
        </w:tc>
        <w:tc>
          <w:tcPr>
            <w:tcW w:w="3357" w:type="dxa"/>
            <w:tcBorders>
              <w:bottom w:val="single" w:sz="4" w:space="0" w:color="auto"/>
              <w:right w:val="single" w:sz="4" w:space="0" w:color="auto"/>
            </w:tcBorders>
            <w:vAlign w:val="center"/>
            <w:hideMark/>
          </w:tcPr>
          <w:p w14:paraId="0FAF85A2" w14:textId="77777777" w:rsidR="00507A61" w:rsidRPr="00507A61" w:rsidRDefault="00507A61" w:rsidP="00507A61">
            <w:pPr>
              <w:spacing w:before="100" w:beforeAutospacing="1"/>
              <w:rPr>
                <w:rFonts w:ascii="Times New Roman" w:eastAsia="Times New Roman" w:hAnsi="Times New Roman" w:cs="Times New Roman"/>
                <w:kern w:val="0"/>
                <w:sz w:val="20"/>
                <w:szCs w:val="20"/>
                <w:lang w:eastAsia="en-GB"/>
                <w14:ligatures w14:val="none"/>
              </w:rPr>
            </w:pPr>
            <w:r w:rsidRPr="00507A61">
              <w:rPr>
                <w:rFonts w:ascii="Times New Roman" w:eastAsia="Times New Roman" w:hAnsi="Times New Roman" w:cs="Times New Roman"/>
                <w:kern w:val="0"/>
                <w:sz w:val="20"/>
                <w:szCs w:val="20"/>
                <w:lang w:eastAsia="en-GB"/>
                <w14:ligatures w14:val="none"/>
              </w:rPr>
              <w:t>Weak negative trend.</w:t>
            </w:r>
          </w:p>
        </w:tc>
      </w:tr>
    </w:tbl>
    <w:p w14:paraId="7B83206D" w14:textId="30BD3464" w:rsidR="001E0343" w:rsidRPr="001E0343" w:rsidRDefault="001E0343" w:rsidP="001E0343">
      <w:pPr>
        <w:spacing w:before="100" w:beforeAutospacing="1"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 xml:space="preserve">From Table 2, Pre-Test Score is the strongest positive predictor (β = 0.45, t = 3.82, p &lt; .001). Instructor Experience also contributes positively (unstandardised β = 0.92; t = 2.99, p = .004). Classroom Setting shows a negative coefficient for online delivery relative to in-person (β = −5.20, t = −2.93, p = .005). Study Time trends positive but is not statistically reliable (p = .120). Age, Gender, and Class Size are </w:t>
      </w:r>
      <w:r w:rsidR="00654B01" w:rsidRPr="001E0343">
        <w:rPr>
          <w:rFonts w:ascii="Times New Roman" w:eastAsia="Times New Roman" w:hAnsi="Times New Roman" w:cs="Times New Roman"/>
          <w:kern w:val="0"/>
          <w:sz w:val="20"/>
          <w:szCs w:val="20"/>
          <w:lang w:eastAsia="en-GB"/>
          <w14:ligatures w14:val="none"/>
        </w:rPr>
        <w:t>non</w:t>
      </w:r>
      <w:r w:rsidR="00654B01">
        <w:rPr>
          <w:rFonts w:ascii="Times New Roman" w:eastAsia="Times New Roman" w:hAnsi="Times New Roman" w:cs="Times New Roman"/>
          <w:kern w:val="0"/>
          <w:sz w:val="20"/>
          <w:szCs w:val="20"/>
          <w:lang w:eastAsia="en-GB"/>
          <w14:ligatures w14:val="none"/>
        </w:rPr>
        <w:t>-</w:t>
      </w:r>
      <w:r w:rsidR="00654B01" w:rsidRPr="001E0343">
        <w:rPr>
          <w:rFonts w:ascii="Times New Roman" w:eastAsia="Times New Roman" w:hAnsi="Times New Roman" w:cs="Times New Roman"/>
          <w:kern w:val="0"/>
          <w:sz w:val="20"/>
          <w:szCs w:val="20"/>
          <w:lang w:eastAsia="en-GB"/>
          <w14:ligatures w14:val="none"/>
        </w:rPr>
        <w:t>significant</w:t>
      </w:r>
      <w:r w:rsidRPr="001E0343">
        <w:rPr>
          <w:rFonts w:ascii="Times New Roman" w:eastAsia="Times New Roman" w:hAnsi="Times New Roman" w:cs="Times New Roman"/>
          <w:kern w:val="0"/>
          <w:sz w:val="20"/>
          <w:szCs w:val="20"/>
          <w:lang w:eastAsia="en-GB"/>
          <w14:ligatures w14:val="none"/>
        </w:rPr>
        <w:t xml:space="preserve"> in this sample.</w:t>
      </w:r>
    </w:p>
    <w:p w14:paraId="52F3D86E" w14:textId="647E018A" w:rsidR="00654B01" w:rsidRDefault="001E0343" w:rsidP="00654B01">
      <w:p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 xml:space="preserve">Robustness and relative importance. Sensitivity checks indicated that removing any single case produced negligible changes in the key coefficients (Δβ &lt; .05). VIF values below 5 confirm no problematic multicollinearity. The </w:t>
      </w:r>
      <w:r w:rsidR="00654B01" w:rsidRPr="001E0343">
        <w:rPr>
          <w:rFonts w:ascii="Times New Roman" w:eastAsia="Times New Roman" w:hAnsi="Times New Roman" w:cs="Times New Roman"/>
          <w:kern w:val="0"/>
          <w:sz w:val="20"/>
          <w:szCs w:val="20"/>
          <w:lang w:eastAsia="en-GB"/>
          <w14:ligatures w14:val="none"/>
        </w:rPr>
        <w:t>non</w:t>
      </w:r>
      <w:r w:rsidR="00654B01">
        <w:rPr>
          <w:rFonts w:ascii="Times New Roman" w:eastAsia="Times New Roman" w:hAnsi="Times New Roman" w:cs="Times New Roman"/>
          <w:kern w:val="0"/>
          <w:sz w:val="20"/>
          <w:szCs w:val="20"/>
          <w:lang w:eastAsia="en-GB"/>
          <w14:ligatures w14:val="none"/>
        </w:rPr>
        <w:t>-</w:t>
      </w:r>
      <w:r w:rsidR="00654B01" w:rsidRPr="001E0343">
        <w:rPr>
          <w:rFonts w:ascii="Times New Roman" w:eastAsia="Times New Roman" w:hAnsi="Times New Roman" w:cs="Times New Roman"/>
          <w:kern w:val="0"/>
          <w:sz w:val="20"/>
          <w:szCs w:val="20"/>
          <w:lang w:eastAsia="en-GB"/>
          <w14:ligatures w14:val="none"/>
        </w:rPr>
        <w:t>significant</w:t>
      </w:r>
      <w:r w:rsidRPr="001E0343">
        <w:rPr>
          <w:rFonts w:ascii="Times New Roman" w:eastAsia="Times New Roman" w:hAnsi="Times New Roman" w:cs="Times New Roman"/>
          <w:kern w:val="0"/>
          <w:sz w:val="20"/>
          <w:szCs w:val="20"/>
          <w:lang w:eastAsia="en-GB"/>
          <w14:ligatures w14:val="none"/>
        </w:rPr>
        <w:t xml:space="preserve"> predictors should be interpreted as “no reliable evidence here under this design and sample,” not as definitive evidence of no effect in all contexts. For instance, study time quality may </w:t>
      </w:r>
      <w:r w:rsidRPr="001E0343">
        <w:rPr>
          <w:rFonts w:ascii="Times New Roman" w:eastAsia="Times New Roman" w:hAnsi="Times New Roman" w:cs="Times New Roman"/>
          <w:kern w:val="0"/>
          <w:sz w:val="20"/>
          <w:szCs w:val="20"/>
          <w:lang w:eastAsia="en-GB"/>
          <w14:ligatures w14:val="none"/>
        </w:rPr>
        <w:lastRenderedPageBreak/>
        <w:t xml:space="preserve">matter more than quantity, and class size can exhibit </w:t>
      </w:r>
      <w:r w:rsidR="00654B01" w:rsidRPr="001E0343">
        <w:rPr>
          <w:rFonts w:ascii="Times New Roman" w:eastAsia="Times New Roman" w:hAnsi="Times New Roman" w:cs="Times New Roman"/>
          <w:kern w:val="0"/>
          <w:sz w:val="20"/>
          <w:szCs w:val="20"/>
          <w:lang w:eastAsia="en-GB"/>
          <w14:ligatures w14:val="none"/>
        </w:rPr>
        <w:t>non</w:t>
      </w:r>
      <w:r w:rsidR="00654B01">
        <w:rPr>
          <w:rFonts w:ascii="Times New Roman" w:eastAsia="Times New Roman" w:hAnsi="Times New Roman" w:cs="Times New Roman"/>
          <w:kern w:val="0"/>
          <w:sz w:val="20"/>
          <w:szCs w:val="20"/>
          <w:lang w:eastAsia="en-GB"/>
          <w14:ligatures w14:val="none"/>
        </w:rPr>
        <w:t>-</w:t>
      </w:r>
      <w:r w:rsidR="00654B01" w:rsidRPr="001E0343">
        <w:rPr>
          <w:rFonts w:ascii="Times New Roman" w:eastAsia="Times New Roman" w:hAnsi="Times New Roman" w:cs="Times New Roman"/>
          <w:kern w:val="0"/>
          <w:sz w:val="20"/>
          <w:szCs w:val="20"/>
          <w:lang w:eastAsia="en-GB"/>
          <w14:ligatures w14:val="none"/>
        </w:rPr>
        <w:t>linear</w:t>
      </w:r>
      <w:r w:rsidRPr="001E0343">
        <w:rPr>
          <w:rFonts w:ascii="Times New Roman" w:eastAsia="Times New Roman" w:hAnsi="Times New Roman" w:cs="Times New Roman"/>
          <w:kern w:val="0"/>
          <w:sz w:val="20"/>
          <w:szCs w:val="20"/>
          <w:lang w:eastAsia="en-GB"/>
          <w14:ligatures w14:val="none"/>
        </w:rPr>
        <w:t xml:space="preserve"> effects that would require targeted designs to detect.</w:t>
      </w:r>
    </w:p>
    <w:p w14:paraId="26C76E51" w14:textId="54C0A27C" w:rsidR="001E0343" w:rsidRDefault="001E0343" w:rsidP="00654B01">
      <w:p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 xml:space="preserve">Figure 2 visualises the dominant relationship, showing that students with stronger starting points tended to achieve higher final </w:t>
      </w:r>
      <w:r w:rsidR="00654B01" w:rsidRPr="001E0343">
        <w:rPr>
          <w:rFonts w:ascii="Times New Roman" w:eastAsia="Times New Roman" w:hAnsi="Times New Roman" w:cs="Times New Roman"/>
          <w:kern w:val="0"/>
          <w:sz w:val="20"/>
          <w:szCs w:val="20"/>
          <w:lang w:eastAsia="en-GB"/>
          <w14:ligatures w14:val="none"/>
        </w:rPr>
        <w:t>scores,</w:t>
      </w:r>
      <w:r w:rsidRPr="001E0343">
        <w:rPr>
          <w:rFonts w:ascii="Times New Roman" w:eastAsia="Times New Roman" w:hAnsi="Times New Roman" w:cs="Times New Roman"/>
          <w:kern w:val="0"/>
          <w:sz w:val="20"/>
          <w:szCs w:val="20"/>
          <w:lang w:eastAsia="en-GB"/>
          <w14:ligatures w14:val="none"/>
        </w:rPr>
        <w:t xml:space="preserve"> the fitted line and band highlight both the direction and the precision of this association.</w:t>
      </w:r>
    </w:p>
    <w:p w14:paraId="4C1272B1" w14:textId="72579CC6" w:rsidR="00767889" w:rsidRDefault="00767889" w:rsidP="00767889">
      <w:pPr>
        <w:spacing w:before="100" w:beforeAutospacing="1" w:after="60" w:afterAutospacing="0"/>
        <w:jc w:val="center"/>
        <w:outlineLvl w:val="1"/>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noProof/>
          <w:kern w:val="0"/>
          <w:sz w:val="20"/>
          <w:szCs w:val="20"/>
          <w:lang w:eastAsia="en-GB"/>
        </w:rPr>
        <w:drawing>
          <wp:inline distT="0" distB="0" distL="0" distR="0" wp14:anchorId="0116A85E" wp14:editId="1ED56997">
            <wp:extent cx="2520000" cy="2520000"/>
            <wp:effectExtent l="0" t="0" r="0" b="0"/>
            <wp:docPr id="195543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38701" name="Picture 19554387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430B3F21" w14:textId="77777777" w:rsidR="007D5896" w:rsidRPr="007D5896" w:rsidRDefault="007D5896" w:rsidP="007D5896">
      <w:pPr>
        <w:spacing w:before="100" w:beforeAutospacing="1" w:after="120" w:afterAutospacing="0"/>
        <w:jc w:val="center"/>
        <w:outlineLvl w:val="1"/>
        <w:rPr>
          <w:rFonts w:ascii="Times New Roman" w:eastAsia="Times New Roman" w:hAnsi="Times New Roman" w:cs="Times New Roman"/>
          <w:i/>
          <w:iCs/>
          <w:kern w:val="0"/>
          <w:sz w:val="16"/>
          <w:szCs w:val="16"/>
          <w:lang w:eastAsia="en-GB"/>
          <w14:ligatures w14:val="none"/>
        </w:rPr>
      </w:pPr>
      <w:r w:rsidRPr="007D5896">
        <w:rPr>
          <w:rFonts w:ascii="Times New Roman" w:eastAsia="Times New Roman" w:hAnsi="Times New Roman" w:cs="Times New Roman"/>
          <w:i/>
          <w:iCs/>
          <w:kern w:val="0"/>
          <w:sz w:val="16"/>
          <w:szCs w:val="16"/>
          <w:lang w:eastAsia="en-GB"/>
          <w14:ligatures w14:val="none"/>
        </w:rPr>
        <w:t>Figure 2. Scatterplot of pre-test scores and final test scores with regression line and 95% confidence interval.</w:t>
      </w:r>
    </w:p>
    <w:p w14:paraId="2A955984" w14:textId="29D748A9" w:rsidR="00507A61" w:rsidRPr="00507A61" w:rsidRDefault="00507A61" w:rsidP="00A50E1D">
      <w:pPr>
        <w:spacing w:before="100" w:beforeAutospacing="1" w:after="120" w:afterAutospacing="0"/>
        <w:outlineLvl w:val="1"/>
        <w:rPr>
          <w:rFonts w:ascii="Times New Roman" w:eastAsia="Times New Roman" w:hAnsi="Times New Roman" w:cs="Times New Roman"/>
          <w:b/>
          <w:bCs/>
          <w:kern w:val="0"/>
          <w:sz w:val="26"/>
          <w:szCs w:val="26"/>
          <w:lang w:eastAsia="en-GB"/>
          <w14:ligatures w14:val="none"/>
        </w:rPr>
      </w:pPr>
      <w:r w:rsidRPr="00507A61">
        <w:rPr>
          <w:rFonts w:ascii="Times New Roman" w:eastAsia="Times New Roman" w:hAnsi="Times New Roman" w:cs="Times New Roman"/>
          <w:b/>
          <w:bCs/>
          <w:kern w:val="0"/>
          <w:sz w:val="26"/>
          <w:szCs w:val="26"/>
          <w:lang w:eastAsia="en-GB"/>
          <w14:ligatures w14:val="none"/>
        </w:rPr>
        <w:t>5. Discussion</w:t>
      </w:r>
    </w:p>
    <w:p w14:paraId="7B81E25C" w14:textId="5D241F2C" w:rsidR="001E0343" w:rsidRPr="001E0343" w:rsidRDefault="001E0343" w:rsidP="0086547F">
      <w:pPr>
        <w:spacing w:before="0" w:after="120" w:afterAutospacing="0"/>
        <w:outlineLvl w:val="1"/>
        <w:rPr>
          <w:rFonts w:ascii="Times New Roman" w:eastAsia="Times New Roman" w:hAnsi="Times New Roman" w:cs="Times New Roman"/>
          <w:b/>
          <w:bCs/>
          <w:kern w:val="0"/>
          <w:sz w:val="20"/>
          <w:szCs w:val="20"/>
          <w:lang w:eastAsia="en-GB"/>
          <w14:ligatures w14:val="none"/>
        </w:rPr>
      </w:pPr>
      <w:r w:rsidRPr="001E0343">
        <w:rPr>
          <w:rFonts w:ascii="Times New Roman" w:eastAsia="Times New Roman" w:hAnsi="Times New Roman" w:cs="Times New Roman"/>
          <w:b/>
          <w:bCs/>
          <w:kern w:val="0"/>
          <w:sz w:val="20"/>
          <w:szCs w:val="20"/>
          <w:lang w:eastAsia="en-GB"/>
          <w14:ligatures w14:val="none"/>
        </w:rPr>
        <w:t>5.1 Interpretation in context</w:t>
      </w:r>
    </w:p>
    <w:p w14:paraId="693C7ADA" w14:textId="03522D43" w:rsidR="001E0343" w:rsidRPr="001E0343" w:rsidRDefault="001E0343" w:rsidP="001E0343">
      <w:pPr>
        <w:spacing w:before="60" w:after="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The comparison analysis indicates that teaching approach matters: Method C consistently produced higher outcomes than Methods A and B. As displayed in Figure 1, Method C’s scores not only centre higher but also exhibit a somewhat tighter distribution, suggesting that the approach benefits a broad range of learners rather than just a small subgroup. In practical terms, this is the kind of uplift instructors look for when selecting activities in ICT units that demand conceptual clarity and hands</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on practice.</w:t>
      </w:r>
    </w:p>
    <w:p w14:paraId="0BD18431" w14:textId="3BFF6CAE" w:rsidR="001E0343" w:rsidRPr="001E0343" w:rsidRDefault="001E0343" w:rsidP="001E0343">
      <w:pPr>
        <w:spacing w:before="60" w:after="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The regression results provide a complementary lens. Prior achievement (Pre</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Test Score) is the most consistent predictor, aligning with Figure 2, which visually depicts the upward trend. This pattern is common in educational measurement and does not diminish the role of pedagogy; rather, it points to the importance of meeting learners where they start. Two pragmatic implications follow. First, employing diagnostic pre-tests early in a unit makes it easier to identify students who would benefit from refresher modules, problem-solving clinics, or peer tutoring. Second, instructor experience appears to add measurable value, likely through sharper explanations, more efficient pacing, and timely feedback</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features that are especially beneficial in practice-heavy ICT topics.</w:t>
      </w:r>
    </w:p>
    <w:p w14:paraId="5CAE3BB2" w14:textId="2B638B4D" w:rsidR="001E0343" w:rsidRPr="001E0343" w:rsidRDefault="001E0343" w:rsidP="0086547F">
      <w:pPr>
        <w:spacing w:before="60" w:after="12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The negative effect estimated for online delivery signals that distance modes need to be actively designed to match the benefits of in</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person interaction. Structured breakout tasks, frequent formative checks, and low</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friction collaborative tools can counter the disengagement risk that sometimes accompanies online learning. In contrast, the absence of reliable effects for Age, Gender, and Class Size within this dataset suggests that, over the observed ranges, what instructors do (method and design) may matter more than who is in the room or how many are present.</w:t>
      </w:r>
    </w:p>
    <w:p w14:paraId="23350F6E" w14:textId="77777777" w:rsidR="001E0343" w:rsidRPr="001E0343" w:rsidRDefault="001E0343" w:rsidP="0086547F">
      <w:pPr>
        <w:spacing w:before="0" w:after="120" w:afterAutospacing="0"/>
        <w:outlineLvl w:val="1"/>
        <w:rPr>
          <w:rFonts w:ascii="Times New Roman" w:eastAsia="Times New Roman" w:hAnsi="Times New Roman" w:cs="Times New Roman"/>
          <w:b/>
          <w:bCs/>
          <w:kern w:val="0"/>
          <w:sz w:val="20"/>
          <w:szCs w:val="20"/>
          <w:lang w:eastAsia="en-GB"/>
          <w14:ligatures w14:val="none"/>
        </w:rPr>
      </w:pPr>
      <w:r w:rsidRPr="001E0343">
        <w:rPr>
          <w:rFonts w:ascii="Times New Roman" w:eastAsia="Times New Roman" w:hAnsi="Times New Roman" w:cs="Times New Roman"/>
          <w:b/>
          <w:bCs/>
          <w:kern w:val="0"/>
          <w:sz w:val="20"/>
          <w:szCs w:val="20"/>
          <w:lang w:eastAsia="en-GB"/>
          <w14:ligatures w14:val="none"/>
        </w:rPr>
        <w:t>5.2 Practical implications for ICT teaching</w:t>
      </w:r>
    </w:p>
    <w:p w14:paraId="459DBACA" w14:textId="22724BBB" w:rsidR="001E0343" w:rsidRPr="001E0343" w:rsidRDefault="001E0343" w:rsidP="001E0343">
      <w:pPr>
        <w:pStyle w:val="ListParagraph"/>
        <w:numPr>
          <w:ilvl w:val="0"/>
          <w:numId w:val="23"/>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Adopt Method-C-style pedagogy. Emphasise interactive, feedback</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rich activities (e.g., guided practice, think-pair-share, rapid error</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checking) that directly connect concepts with applied tasks.</w:t>
      </w:r>
    </w:p>
    <w:p w14:paraId="4F13AA54" w14:textId="6770F97D" w:rsidR="001E0343" w:rsidRPr="001E0343" w:rsidRDefault="001E0343" w:rsidP="001E0343">
      <w:pPr>
        <w:pStyle w:val="ListParagraph"/>
        <w:numPr>
          <w:ilvl w:val="0"/>
          <w:numId w:val="23"/>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Use early diagnostics. Short pretests and quick concept checks help tailor support and reduce the gap between lower and higher</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prepared learners.</w:t>
      </w:r>
    </w:p>
    <w:p w14:paraId="407A3547" w14:textId="4FB96D9C" w:rsidR="001E0343" w:rsidRPr="001E0343" w:rsidRDefault="001E0343" w:rsidP="001E0343">
      <w:pPr>
        <w:pStyle w:val="ListParagraph"/>
        <w:numPr>
          <w:ilvl w:val="0"/>
          <w:numId w:val="23"/>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Invest in instructor development. Mentoring, shared resources, and reflective teaching cycles can leverage the positive effect of experience.</w:t>
      </w:r>
    </w:p>
    <w:p w14:paraId="2B5AB9B0" w14:textId="771500D5" w:rsidR="001E0343" w:rsidRPr="001E0343" w:rsidRDefault="001E0343" w:rsidP="001E0343">
      <w:pPr>
        <w:pStyle w:val="ListParagraph"/>
        <w:numPr>
          <w:ilvl w:val="0"/>
          <w:numId w:val="23"/>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Design online with intent. Build in frequent interaction, timely feedback, and structured collaboration to close the in</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person/online gap.</w:t>
      </w:r>
    </w:p>
    <w:p w14:paraId="55888749" w14:textId="47E93DE4" w:rsidR="001E0343" w:rsidRPr="001E0343" w:rsidRDefault="001E0343" w:rsidP="001E0343">
      <w:pPr>
        <w:pStyle w:val="ListParagraph"/>
        <w:numPr>
          <w:ilvl w:val="0"/>
          <w:numId w:val="23"/>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lastRenderedPageBreak/>
        <w:t>Monitor dispersion, not just means. Figure 1 suggests Method C may reduce spread slightly; focusing on dispersion can help identify equity benefits, not only average gains.</w:t>
      </w:r>
    </w:p>
    <w:p w14:paraId="27E5989B" w14:textId="3BC4135C" w:rsidR="001E0343" w:rsidRPr="001E0343" w:rsidRDefault="001E0343" w:rsidP="0086547F">
      <w:pPr>
        <w:spacing w:before="0" w:after="120" w:afterAutospacing="0"/>
        <w:outlineLvl w:val="1"/>
        <w:rPr>
          <w:rFonts w:ascii="Times New Roman" w:eastAsia="Times New Roman" w:hAnsi="Times New Roman" w:cs="Times New Roman"/>
          <w:b/>
          <w:bCs/>
          <w:kern w:val="0"/>
          <w:sz w:val="20"/>
          <w:szCs w:val="20"/>
          <w:lang w:eastAsia="en-GB"/>
          <w14:ligatures w14:val="none"/>
        </w:rPr>
      </w:pPr>
      <w:r w:rsidRPr="001E0343">
        <w:rPr>
          <w:rFonts w:ascii="Times New Roman" w:eastAsia="Times New Roman" w:hAnsi="Times New Roman" w:cs="Times New Roman"/>
          <w:b/>
          <w:bCs/>
          <w:kern w:val="0"/>
          <w:sz w:val="20"/>
          <w:szCs w:val="20"/>
          <w:lang w:eastAsia="en-GB"/>
          <w14:ligatures w14:val="none"/>
        </w:rPr>
        <w:t>5.3 Limitations</w:t>
      </w:r>
    </w:p>
    <w:p w14:paraId="09669BBF" w14:textId="4D32BA9B" w:rsidR="001E0343" w:rsidRPr="001E0343" w:rsidRDefault="001E0343" w:rsidP="001E0343">
      <w:pPr>
        <w:spacing w:before="0" w:after="12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The design is quasi</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 xml:space="preserve">experimental, relying on </w:t>
      </w:r>
      <w:r w:rsidR="00654B01" w:rsidRPr="001E0343">
        <w:rPr>
          <w:rFonts w:ascii="Times New Roman" w:eastAsia="Times New Roman" w:hAnsi="Times New Roman" w:cs="Times New Roman"/>
          <w:kern w:val="0"/>
          <w:sz w:val="20"/>
          <w:szCs w:val="20"/>
          <w:lang w:eastAsia="en-GB"/>
          <w14:ligatures w14:val="none"/>
        </w:rPr>
        <w:t>pre</w:t>
      </w:r>
      <w:r w:rsidR="00654B01">
        <w:rPr>
          <w:rFonts w:ascii="Times New Roman" w:eastAsia="Times New Roman" w:hAnsi="Times New Roman" w:cs="Times New Roman"/>
          <w:kern w:val="0"/>
          <w:sz w:val="20"/>
          <w:szCs w:val="20"/>
          <w:lang w:eastAsia="en-GB"/>
          <w14:ligatures w14:val="none"/>
        </w:rPr>
        <w:t>-</w:t>
      </w:r>
      <w:r w:rsidR="00654B01" w:rsidRPr="001E0343">
        <w:rPr>
          <w:rFonts w:ascii="Times New Roman" w:eastAsia="Times New Roman" w:hAnsi="Times New Roman" w:cs="Times New Roman"/>
          <w:kern w:val="0"/>
          <w:sz w:val="20"/>
          <w:szCs w:val="20"/>
          <w:lang w:eastAsia="en-GB"/>
          <w14:ligatures w14:val="none"/>
        </w:rPr>
        <w:t>existing</w:t>
      </w:r>
      <w:r w:rsidRPr="001E0343">
        <w:rPr>
          <w:rFonts w:ascii="Times New Roman" w:eastAsia="Times New Roman" w:hAnsi="Times New Roman" w:cs="Times New Roman"/>
          <w:kern w:val="0"/>
          <w:sz w:val="20"/>
          <w:szCs w:val="20"/>
          <w:lang w:eastAsia="en-GB"/>
          <w14:ligatures w14:val="none"/>
        </w:rPr>
        <w:t xml:space="preserve"> groups. Unobserved differences (e.g., motivation, prior informal learning) may partly account for outcomes, so causal claims should be made with caution. The sample is modest (N = 60) and drawn from a single setting, constraining generalisability. The outcome is a </w:t>
      </w:r>
      <w:r w:rsidR="00654B01" w:rsidRPr="001E0343">
        <w:rPr>
          <w:rFonts w:ascii="Times New Roman" w:eastAsia="Times New Roman" w:hAnsi="Times New Roman" w:cs="Times New Roman"/>
          <w:kern w:val="0"/>
          <w:sz w:val="20"/>
          <w:szCs w:val="20"/>
          <w:lang w:eastAsia="en-GB"/>
          <w14:ligatures w14:val="none"/>
        </w:rPr>
        <w:t>short</w:t>
      </w:r>
      <w:r w:rsidR="00654B01">
        <w:rPr>
          <w:rFonts w:ascii="Times New Roman" w:eastAsia="Times New Roman" w:hAnsi="Times New Roman" w:cs="Times New Roman"/>
          <w:kern w:val="0"/>
          <w:sz w:val="20"/>
          <w:szCs w:val="20"/>
          <w:lang w:eastAsia="en-GB"/>
          <w14:ligatures w14:val="none"/>
        </w:rPr>
        <w:t>-term</w:t>
      </w:r>
      <w:r w:rsidRPr="001E0343">
        <w:rPr>
          <w:rFonts w:ascii="Times New Roman" w:eastAsia="Times New Roman" w:hAnsi="Times New Roman" w:cs="Times New Roman"/>
          <w:kern w:val="0"/>
          <w:sz w:val="20"/>
          <w:szCs w:val="20"/>
          <w:lang w:eastAsia="en-GB"/>
          <w14:ligatures w14:val="none"/>
        </w:rPr>
        <w:t xml:space="preserve"> test score, which may not fully reflect long</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term retention or transfer to novel problems.</w:t>
      </w:r>
    </w:p>
    <w:p w14:paraId="62A069DA" w14:textId="1BF3F67D" w:rsidR="001E0343" w:rsidRPr="001E0343" w:rsidRDefault="001E0343" w:rsidP="0086547F">
      <w:pPr>
        <w:spacing w:before="0" w:after="60" w:afterAutospacing="0"/>
        <w:outlineLvl w:val="1"/>
        <w:rPr>
          <w:rFonts w:ascii="Times New Roman" w:eastAsia="Times New Roman" w:hAnsi="Times New Roman" w:cs="Times New Roman"/>
          <w:b/>
          <w:bCs/>
          <w:kern w:val="0"/>
          <w:sz w:val="20"/>
          <w:szCs w:val="20"/>
          <w:lang w:eastAsia="en-GB"/>
          <w14:ligatures w14:val="none"/>
        </w:rPr>
      </w:pPr>
      <w:r w:rsidRPr="001E0343">
        <w:rPr>
          <w:rFonts w:ascii="Times New Roman" w:eastAsia="Times New Roman" w:hAnsi="Times New Roman" w:cs="Times New Roman"/>
          <w:b/>
          <w:bCs/>
          <w:kern w:val="0"/>
          <w:sz w:val="20"/>
          <w:szCs w:val="20"/>
          <w:lang w:eastAsia="en-GB"/>
          <w14:ligatures w14:val="none"/>
        </w:rPr>
        <w:t>5.4 Directions for future research</w:t>
      </w:r>
    </w:p>
    <w:p w14:paraId="3F09B9C5" w14:textId="77777777" w:rsidR="001E0343" w:rsidRPr="001E0343" w:rsidRDefault="001E0343" w:rsidP="001E0343">
      <w:pPr>
        <w:spacing w:before="0" w:after="12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Several avenues would strengthen evidence quality:</w:t>
      </w:r>
    </w:p>
    <w:p w14:paraId="732891C8" w14:textId="42AAA3F9" w:rsidR="001E0343" w:rsidRPr="001E0343" w:rsidRDefault="001E0343" w:rsidP="001E0343">
      <w:pPr>
        <w:pStyle w:val="ListParagraph"/>
        <w:numPr>
          <w:ilvl w:val="0"/>
          <w:numId w:val="22"/>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Random assignment or rigorous matching to improve causal inference.</w:t>
      </w:r>
    </w:p>
    <w:p w14:paraId="766D8FFA" w14:textId="5D8802E1" w:rsidR="001E0343" w:rsidRPr="001E0343" w:rsidRDefault="00654B01" w:rsidP="001E0343">
      <w:pPr>
        <w:pStyle w:val="ListParagraph"/>
        <w:numPr>
          <w:ilvl w:val="0"/>
          <w:numId w:val="22"/>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Multi</w:t>
      </w:r>
      <w:r>
        <w:rPr>
          <w:rFonts w:ascii="Times New Roman" w:eastAsia="Times New Roman" w:hAnsi="Times New Roman" w:cs="Times New Roman"/>
          <w:kern w:val="0"/>
          <w:sz w:val="20"/>
          <w:szCs w:val="20"/>
          <w:lang w:eastAsia="en-GB"/>
          <w14:ligatures w14:val="none"/>
        </w:rPr>
        <w:t>-</w:t>
      </w:r>
      <w:r w:rsidRPr="001E0343">
        <w:rPr>
          <w:rFonts w:ascii="Times New Roman" w:eastAsia="Times New Roman" w:hAnsi="Times New Roman" w:cs="Times New Roman"/>
          <w:kern w:val="0"/>
          <w:sz w:val="20"/>
          <w:szCs w:val="20"/>
          <w:lang w:eastAsia="en-GB"/>
          <w14:ligatures w14:val="none"/>
        </w:rPr>
        <w:t>site</w:t>
      </w:r>
      <w:r w:rsidR="001E0343" w:rsidRPr="001E0343">
        <w:rPr>
          <w:rFonts w:ascii="Times New Roman" w:eastAsia="Times New Roman" w:hAnsi="Times New Roman" w:cs="Times New Roman"/>
          <w:kern w:val="0"/>
          <w:sz w:val="20"/>
          <w:szCs w:val="20"/>
          <w:lang w:eastAsia="en-GB"/>
          <w14:ligatures w14:val="none"/>
        </w:rPr>
        <w:t xml:space="preserve"> recruitment to test generalisability across different cohorts and instructional contexts.</w:t>
      </w:r>
    </w:p>
    <w:p w14:paraId="6439606E" w14:textId="70B766E8" w:rsidR="001E0343" w:rsidRPr="001E0343" w:rsidRDefault="001E0343" w:rsidP="001E0343">
      <w:pPr>
        <w:pStyle w:val="ListParagraph"/>
        <w:numPr>
          <w:ilvl w:val="0"/>
          <w:numId w:val="22"/>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 xml:space="preserve">Longitudinal </w:t>
      </w:r>
      <w:r w:rsidR="00654B01" w:rsidRPr="001E0343">
        <w:rPr>
          <w:rFonts w:ascii="Times New Roman" w:eastAsia="Times New Roman" w:hAnsi="Times New Roman" w:cs="Times New Roman"/>
          <w:kern w:val="0"/>
          <w:sz w:val="20"/>
          <w:szCs w:val="20"/>
          <w:lang w:eastAsia="en-GB"/>
          <w14:ligatures w14:val="none"/>
        </w:rPr>
        <w:t>follow-ups</w:t>
      </w:r>
      <w:r w:rsidRPr="001E0343">
        <w:rPr>
          <w:rFonts w:ascii="Times New Roman" w:eastAsia="Times New Roman" w:hAnsi="Times New Roman" w:cs="Times New Roman"/>
          <w:kern w:val="0"/>
          <w:sz w:val="20"/>
          <w:szCs w:val="20"/>
          <w:lang w:eastAsia="en-GB"/>
          <w14:ligatures w14:val="none"/>
        </w:rPr>
        <w:t xml:space="preserve"> to measure retention and transfer beyond the immediate test.</w:t>
      </w:r>
    </w:p>
    <w:p w14:paraId="08354A7C" w14:textId="7FA5A39F" w:rsidR="001E0343" w:rsidRPr="001E0343" w:rsidRDefault="001E0343" w:rsidP="001E0343">
      <w:pPr>
        <w:pStyle w:val="ListParagraph"/>
        <w:numPr>
          <w:ilvl w:val="0"/>
          <w:numId w:val="22"/>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Factorial studies in online design (e.g., varying feedback latency, interaction frequency, and group structure) to isolate the specific ingredients that neutralise the online penalty found here.</w:t>
      </w:r>
    </w:p>
    <w:p w14:paraId="137CE8A5" w14:textId="5C3CF95C" w:rsidR="001E0343" w:rsidRPr="001E0343" w:rsidRDefault="001E0343" w:rsidP="001E0343">
      <w:pPr>
        <w:pStyle w:val="ListParagraph"/>
        <w:numPr>
          <w:ilvl w:val="0"/>
          <w:numId w:val="22"/>
        </w:numPr>
        <w:spacing w:before="0" w:after="6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Process data (e.g., clickstream, time</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on</w:t>
      </w:r>
      <w:r w:rsidR="00654B01">
        <w:rPr>
          <w:rFonts w:ascii="Times New Roman" w:eastAsia="Times New Roman" w:hAnsi="Times New Roman" w:cs="Times New Roman"/>
          <w:kern w:val="0"/>
          <w:sz w:val="20"/>
          <w:szCs w:val="20"/>
          <w:lang w:eastAsia="en-GB"/>
          <w14:ligatures w14:val="none"/>
        </w:rPr>
        <w:t xml:space="preserve"> </w:t>
      </w:r>
      <w:r w:rsidRPr="001E0343">
        <w:rPr>
          <w:rFonts w:ascii="Times New Roman" w:eastAsia="Times New Roman" w:hAnsi="Times New Roman" w:cs="Times New Roman"/>
          <w:kern w:val="0"/>
          <w:sz w:val="20"/>
          <w:szCs w:val="20"/>
          <w:lang w:eastAsia="en-GB"/>
          <w14:ligatures w14:val="none"/>
        </w:rPr>
        <w:t>task, or formative quiz trajectories) to model how learning unfolds within each method.</w:t>
      </w:r>
    </w:p>
    <w:p w14:paraId="699C25BF" w14:textId="19314DA8" w:rsidR="00507A61" w:rsidRPr="00507A61" w:rsidRDefault="00507A61" w:rsidP="0086547F">
      <w:pPr>
        <w:spacing w:before="100" w:beforeAutospacing="1" w:after="60" w:afterAutospacing="0"/>
        <w:outlineLvl w:val="1"/>
        <w:rPr>
          <w:rFonts w:ascii="Times New Roman" w:eastAsia="Times New Roman" w:hAnsi="Times New Roman" w:cs="Times New Roman"/>
          <w:b/>
          <w:bCs/>
          <w:kern w:val="0"/>
          <w:sz w:val="26"/>
          <w:szCs w:val="26"/>
          <w:lang w:eastAsia="en-GB"/>
          <w14:ligatures w14:val="none"/>
        </w:rPr>
      </w:pPr>
      <w:r w:rsidRPr="00507A61">
        <w:rPr>
          <w:rFonts w:ascii="Times New Roman" w:eastAsia="Times New Roman" w:hAnsi="Times New Roman" w:cs="Times New Roman"/>
          <w:b/>
          <w:bCs/>
          <w:kern w:val="0"/>
          <w:sz w:val="26"/>
          <w:szCs w:val="26"/>
          <w:lang w:eastAsia="en-GB"/>
          <w14:ligatures w14:val="none"/>
        </w:rPr>
        <w:t>6. Conclusion</w:t>
      </w:r>
    </w:p>
    <w:p w14:paraId="507C7DA7" w14:textId="77777777" w:rsidR="001E0343" w:rsidRDefault="001E0343" w:rsidP="001E0343">
      <w:pPr>
        <w:spacing w:before="0" w:after="120" w:afterAutospacing="0"/>
        <w:outlineLvl w:val="1"/>
        <w:rPr>
          <w:rFonts w:ascii="Times New Roman" w:eastAsia="Times New Roman" w:hAnsi="Times New Roman" w:cs="Times New Roman"/>
          <w:kern w:val="0"/>
          <w:sz w:val="20"/>
          <w:szCs w:val="20"/>
          <w:lang w:eastAsia="en-GB"/>
          <w14:ligatures w14:val="none"/>
        </w:rPr>
      </w:pPr>
      <w:r w:rsidRPr="001E0343">
        <w:rPr>
          <w:rFonts w:ascii="Times New Roman" w:eastAsia="Times New Roman" w:hAnsi="Times New Roman" w:cs="Times New Roman"/>
          <w:kern w:val="0"/>
          <w:sz w:val="20"/>
          <w:szCs w:val="20"/>
          <w:lang w:eastAsia="en-GB"/>
          <w14:ligatures w14:val="none"/>
        </w:rPr>
        <w:t>This report examined the effects of teaching method and additional learner/context factors on student performance in an ICT setting. The ANOVA showed that Method C outperformed the other approaches by a moderate and practically meaningful margin. The regression highlighted the central role of prior knowledge, the positive contribution of instructor experience, and a notable challenge associated with online delivery. Together, these results suggest that effective ICT instruction benefits from strong pedagogy, attention to students’ starting points, experienced teachers, and purposeful online design. For practitioners, the implication is straightforward: adopt Method-C-style strategies, implement early diagnostics with tailored supports, and curate online experiences to sustain interaction and timely feedback.</w:t>
      </w:r>
    </w:p>
    <w:p w14:paraId="7EBCCC43" w14:textId="7BCF0840" w:rsidR="00507A61" w:rsidRPr="00507A61" w:rsidRDefault="00507A61" w:rsidP="0086547F">
      <w:pPr>
        <w:spacing w:before="100" w:beforeAutospacing="1" w:after="60" w:afterAutospacing="0"/>
        <w:outlineLvl w:val="1"/>
        <w:rPr>
          <w:rFonts w:ascii="Times New Roman" w:eastAsia="Times New Roman" w:hAnsi="Times New Roman" w:cs="Times New Roman"/>
          <w:b/>
          <w:bCs/>
          <w:kern w:val="0"/>
          <w:sz w:val="26"/>
          <w:szCs w:val="26"/>
          <w:lang w:eastAsia="en-GB"/>
          <w14:ligatures w14:val="none"/>
        </w:rPr>
      </w:pPr>
      <w:r w:rsidRPr="00507A61">
        <w:rPr>
          <w:rFonts w:ascii="Times New Roman" w:eastAsia="Times New Roman" w:hAnsi="Times New Roman" w:cs="Times New Roman"/>
          <w:b/>
          <w:bCs/>
          <w:kern w:val="0"/>
          <w:sz w:val="26"/>
          <w:szCs w:val="26"/>
          <w:lang w:eastAsia="en-GB"/>
          <w14:ligatures w14:val="none"/>
        </w:rPr>
        <w:t>7. References</w:t>
      </w:r>
    </w:p>
    <w:p w14:paraId="380A1DE6" w14:textId="6412574C" w:rsidR="0086547F" w:rsidRPr="0086547F" w:rsidRDefault="0086547F" w:rsidP="0086547F">
      <w:pPr>
        <w:spacing w:before="0" w:afterAutospacing="0" w:line="240" w:lineRule="auto"/>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Cohen, L., Manion, L., &amp; Morrison, K. (2018). </w:t>
      </w:r>
      <w:r w:rsidRPr="0086547F">
        <w:rPr>
          <w:rFonts w:ascii="Times New Roman" w:eastAsia="Times New Roman" w:hAnsi="Times New Roman" w:cs="Times New Roman"/>
          <w:i/>
          <w:iCs/>
          <w:kern w:val="0"/>
          <w:sz w:val="20"/>
          <w:szCs w:val="20"/>
          <w:lang w:eastAsia="en-GB"/>
          <w14:ligatures w14:val="none"/>
        </w:rPr>
        <w:t>Research methods in education</w:t>
      </w:r>
      <w:r w:rsidRPr="0086547F">
        <w:rPr>
          <w:rFonts w:ascii="Times New Roman" w:eastAsia="Times New Roman" w:hAnsi="Times New Roman" w:cs="Times New Roman"/>
          <w:kern w:val="0"/>
          <w:sz w:val="20"/>
          <w:szCs w:val="20"/>
          <w:lang w:eastAsia="en-GB"/>
          <w14:ligatures w14:val="none"/>
        </w:rPr>
        <w:t xml:space="preserve"> (8th ed.). Routledge.</w:t>
      </w:r>
    </w:p>
    <w:p w14:paraId="18EBE60D" w14:textId="799F01BB" w:rsidR="0086547F" w:rsidRPr="0086547F" w:rsidRDefault="0086547F" w:rsidP="0086547F">
      <w:pPr>
        <w:spacing w:before="0" w:afterAutospacing="0" w:line="240" w:lineRule="auto"/>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Field, A. (2018). </w:t>
      </w:r>
      <w:r w:rsidRPr="0086547F">
        <w:rPr>
          <w:rFonts w:ascii="Times New Roman" w:eastAsia="Times New Roman" w:hAnsi="Times New Roman" w:cs="Times New Roman"/>
          <w:i/>
          <w:iCs/>
          <w:kern w:val="0"/>
          <w:sz w:val="20"/>
          <w:szCs w:val="20"/>
          <w:lang w:eastAsia="en-GB"/>
          <w14:ligatures w14:val="none"/>
        </w:rPr>
        <w:t>Discovering statistics using IBM SPSS statistics</w:t>
      </w:r>
      <w:r w:rsidRPr="0086547F">
        <w:rPr>
          <w:rFonts w:ascii="Times New Roman" w:eastAsia="Times New Roman" w:hAnsi="Times New Roman" w:cs="Times New Roman"/>
          <w:kern w:val="0"/>
          <w:sz w:val="20"/>
          <w:szCs w:val="20"/>
          <w:lang w:eastAsia="en-GB"/>
          <w14:ligatures w14:val="none"/>
        </w:rPr>
        <w:t xml:space="preserve"> (5th ed.). Sage.</w:t>
      </w:r>
    </w:p>
    <w:p w14:paraId="71D685C3" w14:textId="50875A58" w:rsidR="0086547F" w:rsidRPr="0086547F" w:rsidRDefault="0086547F" w:rsidP="0086547F">
      <w:pPr>
        <w:spacing w:before="0" w:afterAutospacing="0" w:line="240" w:lineRule="auto"/>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Freeman, S., Eddy, S. L., McDonough, M., Smith, M. K., Okoroafor, N., Jordt, H., &amp; Wenderoth, M. P. (2014). Active learning increases student performance in science, engineering, and mathematics. </w:t>
      </w:r>
      <w:r w:rsidRPr="0086547F">
        <w:rPr>
          <w:rFonts w:ascii="Times New Roman" w:eastAsia="Times New Roman" w:hAnsi="Times New Roman" w:cs="Times New Roman"/>
          <w:i/>
          <w:iCs/>
          <w:kern w:val="0"/>
          <w:sz w:val="20"/>
          <w:szCs w:val="20"/>
          <w:lang w:eastAsia="en-GB"/>
          <w14:ligatures w14:val="none"/>
        </w:rPr>
        <w:t>Proceedings of the National Academy of Sciences, 111</w:t>
      </w:r>
      <w:r w:rsidRPr="0086547F">
        <w:rPr>
          <w:rFonts w:ascii="Times New Roman" w:eastAsia="Times New Roman" w:hAnsi="Times New Roman" w:cs="Times New Roman"/>
          <w:kern w:val="0"/>
          <w:sz w:val="20"/>
          <w:szCs w:val="20"/>
          <w:lang w:eastAsia="en-GB"/>
          <w14:ligatures w14:val="none"/>
        </w:rPr>
        <w:t>(23), 8410–8415. https://doi.org/10.1073/pnas.1319030111</w:t>
      </w:r>
    </w:p>
    <w:p w14:paraId="3A9198B5" w14:textId="3683C3BA" w:rsidR="0086547F" w:rsidRPr="0086547F" w:rsidRDefault="0086547F" w:rsidP="0086547F">
      <w:pPr>
        <w:spacing w:before="0" w:afterAutospacing="0" w:line="240" w:lineRule="auto"/>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JASP Team. (2024). </w:t>
      </w:r>
      <w:r w:rsidRPr="0086547F">
        <w:rPr>
          <w:rFonts w:ascii="Times New Roman" w:eastAsia="Times New Roman" w:hAnsi="Times New Roman" w:cs="Times New Roman"/>
          <w:i/>
          <w:iCs/>
          <w:kern w:val="0"/>
          <w:sz w:val="20"/>
          <w:szCs w:val="20"/>
          <w:lang w:eastAsia="en-GB"/>
          <w14:ligatures w14:val="none"/>
        </w:rPr>
        <w:t>JASP</w:t>
      </w:r>
      <w:r w:rsidRPr="0086547F">
        <w:rPr>
          <w:rFonts w:ascii="Times New Roman" w:eastAsia="Times New Roman" w:hAnsi="Times New Roman" w:cs="Times New Roman"/>
          <w:kern w:val="0"/>
          <w:sz w:val="20"/>
          <w:szCs w:val="20"/>
          <w:lang w:eastAsia="en-GB"/>
          <w14:ligatures w14:val="none"/>
        </w:rPr>
        <w:t xml:space="preserve"> [Computer software]. https://jasp-stats.org</w:t>
      </w:r>
    </w:p>
    <w:p w14:paraId="4AF07154" w14:textId="2799639A" w:rsidR="0086547F" w:rsidRPr="0086547F" w:rsidRDefault="0086547F" w:rsidP="0086547F">
      <w:pPr>
        <w:spacing w:before="0" w:afterAutospacing="0" w:line="240" w:lineRule="auto"/>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Johnson, B., &amp; Christensen, L. (2019). </w:t>
      </w:r>
      <w:r w:rsidRPr="0086547F">
        <w:rPr>
          <w:rFonts w:ascii="Times New Roman" w:eastAsia="Times New Roman" w:hAnsi="Times New Roman" w:cs="Times New Roman"/>
          <w:i/>
          <w:iCs/>
          <w:kern w:val="0"/>
          <w:sz w:val="20"/>
          <w:szCs w:val="20"/>
          <w:lang w:eastAsia="en-GB"/>
          <w14:ligatures w14:val="none"/>
        </w:rPr>
        <w:t>Educational research: Quantitative, qualitative, and mixed approaches</w:t>
      </w:r>
      <w:r w:rsidRPr="0086547F">
        <w:rPr>
          <w:rFonts w:ascii="Times New Roman" w:eastAsia="Times New Roman" w:hAnsi="Times New Roman" w:cs="Times New Roman"/>
          <w:kern w:val="0"/>
          <w:sz w:val="20"/>
          <w:szCs w:val="20"/>
          <w:lang w:eastAsia="en-GB"/>
          <w14:ligatures w14:val="none"/>
        </w:rPr>
        <w:t xml:space="preserve"> (7th ed.). Sage.</w:t>
      </w:r>
    </w:p>
    <w:p w14:paraId="62A9A3AD" w14:textId="46578BC2" w:rsidR="0086547F" w:rsidRPr="0086547F" w:rsidRDefault="0086547F" w:rsidP="0086547F">
      <w:pPr>
        <w:spacing w:before="0" w:afterAutospacing="0" w:line="240" w:lineRule="auto"/>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Means, B., Toyama, Y., Murphy, R., </w:t>
      </w:r>
      <w:proofErr w:type="spellStart"/>
      <w:r w:rsidRPr="0086547F">
        <w:rPr>
          <w:rFonts w:ascii="Times New Roman" w:eastAsia="Times New Roman" w:hAnsi="Times New Roman" w:cs="Times New Roman"/>
          <w:kern w:val="0"/>
          <w:sz w:val="20"/>
          <w:szCs w:val="20"/>
          <w:lang w:eastAsia="en-GB"/>
          <w14:ligatures w14:val="none"/>
        </w:rPr>
        <w:t>Bakia</w:t>
      </w:r>
      <w:proofErr w:type="spellEnd"/>
      <w:r w:rsidRPr="0086547F">
        <w:rPr>
          <w:rFonts w:ascii="Times New Roman" w:eastAsia="Times New Roman" w:hAnsi="Times New Roman" w:cs="Times New Roman"/>
          <w:kern w:val="0"/>
          <w:sz w:val="20"/>
          <w:szCs w:val="20"/>
          <w:lang w:eastAsia="en-GB"/>
          <w14:ligatures w14:val="none"/>
        </w:rPr>
        <w:t xml:space="preserve">, M., &amp; Jones, K. (2010). </w:t>
      </w:r>
      <w:r w:rsidRPr="0086547F">
        <w:rPr>
          <w:rFonts w:ascii="Times New Roman" w:eastAsia="Times New Roman" w:hAnsi="Times New Roman" w:cs="Times New Roman"/>
          <w:i/>
          <w:iCs/>
          <w:kern w:val="0"/>
          <w:sz w:val="20"/>
          <w:szCs w:val="20"/>
          <w:lang w:eastAsia="en-GB"/>
          <w14:ligatures w14:val="none"/>
        </w:rPr>
        <w:t>Evaluation of evidence-based practices in online learning: A meta-analysis and review of online learning studies</w:t>
      </w:r>
      <w:r w:rsidRPr="0086547F">
        <w:rPr>
          <w:rFonts w:ascii="Times New Roman" w:eastAsia="Times New Roman" w:hAnsi="Times New Roman" w:cs="Times New Roman"/>
          <w:kern w:val="0"/>
          <w:sz w:val="20"/>
          <w:szCs w:val="20"/>
          <w:lang w:eastAsia="en-GB"/>
          <w14:ligatures w14:val="none"/>
        </w:rPr>
        <w:t>. U.S. Department of Education. https://www2.ed.gov/rschstat/eval/tech/evidence-based-practices/finalreport.pdf</w:t>
      </w:r>
    </w:p>
    <w:p w14:paraId="10815D0E" w14:textId="224F35F0" w:rsidR="0086547F" w:rsidRPr="0086547F" w:rsidRDefault="0086547F" w:rsidP="0086547F">
      <w:pPr>
        <w:spacing w:before="0" w:afterAutospacing="0" w:line="240" w:lineRule="auto"/>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OER Collective. (2024). </w:t>
      </w:r>
      <w:r w:rsidRPr="0086547F">
        <w:rPr>
          <w:rFonts w:ascii="Times New Roman" w:eastAsia="Times New Roman" w:hAnsi="Times New Roman" w:cs="Times New Roman"/>
          <w:i/>
          <w:iCs/>
          <w:kern w:val="0"/>
          <w:sz w:val="20"/>
          <w:szCs w:val="20"/>
          <w:lang w:eastAsia="en-GB"/>
          <w14:ligatures w14:val="none"/>
        </w:rPr>
        <w:t>Quantitative research methods</w:t>
      </w:r>
      <w:r w:rsidRPr="0086547F">
        <w:rPr>
          <w:rFonts w:ascii="Times New Roman" w:eastAsia="Times New Roman" w:hAnsi="Times New Roman" w:cs="Times New Roman"/>
          <w:kern w:val="0"/>
          <w:sz w:val="20"/>
          <w:szCs w:val="20"/>
          <w:lang w:eastAsia="en-GB"/>
          <w14:ligatures w14:val="none"/>
        </w:rPr>
        <w:t>.</w:t>
      </w:r>
    </w:p>
    <w:p w14:paraId="7B17206D" w14:textId="4ACC7FCA" w:rsidR="0086547F" w:rsidRPr="0086547F" w:rsidRDefault="0086547F" w:rsidP="0086547F">
      <w:pPr>
        <w:spacing w:before="0" w:afterAutospacing="0" w:line="240" w:lineRule="auto"/>
        <w:rPr>
          <w:rFonts w:ascii="Times New Roman" w:eastAsia="Times New Roman" w:hAnsi="Times New Roman" w:cs="Times New Roman"/>
          <w:kern w:val="0"/>
          <w:sz w:val="20"/>
          <w:szCs w:val="20"/>
          <w:lang w:eastAsia="en-GB"/>
          <w14:ligatures w14:val="none"/>
        </w:rPr>
      </w:pPr>
      <w:r w:rsidRPr="0086547F">
        <w:rPr>
          <w:rFonts w:ascii="Times New Roman" w:eastAsia="Times New Roman" w:hAnsi="Times New Roman" w:cs="Times New Roman"/>
          <w:kern w:val="0"/>
          <w:sz w:val="20"/>
          <w:szCs w:val="20"/>
          <w:lang w:eastAsia="en-GB"/>
          <w14:ligatures w14:val="none"/>
        </w:rPr>
        <w:t xml:space="preserve">University of Tasmania. (2025). </w:t>
      </w:r>
      <w:r w:rsidRPr="0086547F">
        <w:rPr>
          <w:rFonts w:ascii="Times New Roman" w:eastAsia="Times New Roman" w:hAnsi="Times New Roman" w:cs="Times New Roman"/>
          <w:i/>
          <w:iCs/>
          <w:kern w:val="0"/>
          <w:sz w:val="20"/>
          <w:szCs w:val="20"/>
          <w:lang w:eastAsia="en-GB"/>
          <w14:ligatures w14:val="none"/>
        </w:rPr>
        <w:t>KIT714 lecture slides and tutorials, Weeks 5–8</w:t>
      </w:r>
      <w:r w:rsidRPr="0086547F">
        <w:rPr>
          <w:rFonts w:ascii="Times New Roman" w:eastAsia="Times New Roman" w:hAnsi="Times New Roman" w:cs="Times New Roman"/>
          <w:kern w:val="0"/>
          <w:sz w:val="20"/>
          <w:szCs w:val="20"/>
          <w:lang w:eastAsia="en-GB"/>
          <w14:ligatures w14:val="none"/>
        </w:rPr>
        <w:t xml:space="preserve"> [Lecture slides]. MyLO Learning Management System.</w:t>
      </w:r>
    </w:p>
    <w:sectPr w:rsidR="0086547F" w:rsidRPr="00865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F92"/>
    <w:multiLevelType w:val="multilevel"/>
    <w:tmpl w:val="9AA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67E3"/>
    <w:multiLevelType w:val="multilevel"/>
    <w:tmpl w:val="5A1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02988"/>
    <w:multiLevelType w:val="multilevel"/>
    <w:tmpl w:val="16E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601D0"/>
    <w:multiLevelType w:val="multilevel"/>
    <w:tmpl w:val="76E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12031"/>
    <w:multiLevelType w:val="hybridMultilevel"/>
    <w:tmpl w:val="3A92520E"/>
    <w:lvl w:ilvl="0" w:tplc="A0F447B6">
      <w:start w:val="1"/>
      <w:numFmt w:val="decimal"/>
      <w:lvlText w:val="[%1]"/>
      <w:lvlJc w:val="left"/>
      <w:pPr>
        <w:ind w:left="720" w:hanging="360"/>
      </w:pPr>
      <w:rPr>
        <w:rFonts w:ascii="Times New Roman" w:eastAsia="Times New Roman" w:hAnsi="Times New Roman" w:cs="Times New Roman" w:hint="default"/>
        <w:b w:val="0"/>
        <w:bCs w:val="0"/>
        <w:i w:val="0"/>
        <w:iCs w:val="0"/>
        <w:color w:val="231F20"/>
        <w:spacing w:val="0"/>
        <w:w w:val="87"/>
        <w:sz w:val="18"/>
        <w:szCs w:val="18"/>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1750D5"/>
    <w:multiLevelType w:val="multilevel"/>
    <w:tmpl w:val="A37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C22A2"/>
    <w:multiLevelType w:val="multilevel"/>
    <w:tmpl w:val="CD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35B23"/>
    <w:multiLevelType w:val="multilevel"/>
    <w:tmpl w:val="262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80847"/>
    <w:multiLevelType w:val="hybridMultilevel"/>
    <w:tmpl w:val="71764A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BA4185"/>
    <w:multiLevelType w:val="multilevel"/>
    <w:tmpl w:val="9A8C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337BF"/>
    <w:multiLevelType w:val="multilevel"/>
    <w:tmpl w:val="9EB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A6631"/>
    <w:multiLevelType w:val="multilevel"/>
    <w:tmpl w:val="71BA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A4DBC"/>
    <w:multiLevelType w:val="multilevel"/>
    <w:tmpl w:val="D278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A3F12"/>
    <w:multiLevelType w:val="multilevel"/>
    <w:tmpl w:val="8C68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8632E"/>
    <w:multiLevelType w:val="multilevel"/>
    <w:tmpl w:val="6BE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370EE"/>
    <w:multiLevelType w:val="multilevel"/>
    <w:tmpl w:val="4C0A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51353"/>
    <w:multiLevelType w:val="multilevel"/>
    <w:tmpl w:val="3AC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131E6"/>
    <w:multiLevelType w:val="multilevel"/>
    <w:tmpl w:val="EC9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B10BD"/>
    <w:multiLevelType w:val="multilevel"/>
    <w:tmpl w:val="B0F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87944"/>
    <w:multiLevelType w:val="multilevel"/>
    <w:tmpl w:val="C29E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1141A2"/>
    <w:multiLevelType w:val="hybridMultilevel"/>
    <w:tmpl w:val="29DEB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A73137"/>
    <w:multiLevelType w:val="multilevel"/>
    <w:tmpl w:val="90AA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A65FA"/>
    <w:multiLevelType w:val="multilevel"/>
    <w:tmpl w:val="F90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495115">
    <w:abstractNumId w:val="19"/>
  </w:num>
  <w:num w:numId="2" w16cid:durableId="1062631802">
    <w:abstractNumId w:val="1"/>
  </w:num>
  <w:num w:numId="3" w16cid:durableId="1340699302">
    <w:abstractNumId w:val="22"/>
  </w:num>
  <w:num w:numId="4" w16cid:durableId="1744133559">
    <w:abstractNumId w:val="6"/>
  </w:num>
  <w:num w:numId="5" w16cid:durableId="1006788966">
    <w:abstractNumId w:val="18"/>
  </w:num>
  <w:num w:numId="6" w16cid:durableId="45759949">
    <w:abstractNumId w:val="15"/>
  </w:num>
  <w:num w:numId="7" w16cid:durableId="1825850844">
    <w:abstractNumId w:val="5"/>
  </w:num>
  <w:num w:numId="8" w16cid:durableId="828982731">
    <w:abstractNumId w:val="12"/>
  </w:num>
  <w:num w:numId="9" w16cid:durableId="1605383716">
    <w:abstractNumId w:val="7"/>
  </w:num>
  <w:num w:numId="10" w16cid:durableId="1417484516">
    <w:abstractNumId w:val="9"/>
  </w:num>
  <w:num w:numId="11" w16cid:durableId="1687173858">
    <w:abstractNumId w:val="3"/>
  </w:num>
  <w:num w:numId="12" w16cid:durableId="413598010">
    <w:abstractNumId w:val="10"/>
  </w:num>
  <w:num w:numId="13" w16cid:durableId="1074232142">
    <w:abstractNumId w:val="13"/>
  </w:num>
  <w:num w:numId="14" w16cid:durableId="752775311">
    <w:abstractNumId w:val="2"/>
  </w:num>
  <w:num w:numId="15" w16cid:durableId="819342247">
    <w:abstractNumId w:val="14"/>
  </w:num>
  <w:num w:numId="16" w16cid:durableId="512771152">
    <w:abstractNumId w:val="16"/>
  </w:num>
  <w:num w:numId="17" w16cid:durableId="1335306919">
    <w:abstractNumId w:val="17"/>
  </w:num>
  <w:num w:numId="18" w16cid:durableId="573786134">
    <w:abstractNumId w:val="0"/>
  </w:num>
  <w:num w:numId="19" w16cid:durableId="1692950741">
    <w:abstractNumId w:val="4"/>
  </w:num>
  <w:num w:numId="20" w16cid:durableId="301539459">
    <w:abstractNumId w:val="11"/>
  </w:num>
  <w:num w:numId="21" w16cid:durableId="1895694428">
    <w:abstractNumId w:val="21"/>
  </w:num>
  <w:num w:numId="22" w16cid:durableId="613482900">
    <w:abstractNumId w:val="8"/>
  </w:num>
  <w:num w:numId="23" w16cid:durableId="21026748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A61"/>
    <w:rsid w:val="000463B9"/>
    <w:rsid w:val="000B2B04"/>
    <w:rsid w:val="000D7936"/>
    <w:rsid w:val="000E446C"/>
    <w:rsid w:val="0015308A"/>
    <w:rsid w:val="001E0343"/>
    <w:rsid w:val="00341DF4"/>
    <w:rsid w:val="004E2D23"/>
    <w:rsid w:val="00507A61"/>
    <w:rsid w:val="005C724D"/>
    <w:rsid w:val="005D4A43"/>
    <w:rsid w:val="005E030A"/>
    <w:rsid w:val="006002A9"/>
    <w:rsid w:val="00654B01"/>
    <w:rsid w:val="00691C18"/>
    <w:rsid w:val="00767889"/>
    <w:rsid w:val="007708AB"/>
    <w:rsid w:val="007D5896"/>
    <w:rsid w:val="0086547F"/>
    <w:rsid w:val="00A50E1D"/>
    <w:rsid w:val="00B16DAB"/>
    <w:rsid w:val="00B57008"/>
    <w:rsid w:val="00D1192A"/>
    <w:rsid w:val="00EC5BF3"/>
    <w:rsid w:val="00F610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3247"/>
  <w15:chartTrackingRefBased/>
  <w15:docId w15:val="{1BDCA8D6-23E6-D345-B155-B6D6B002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20" w:after="100" w:afterAutospacing="1" w:line="23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7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7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A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A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A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A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7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7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A61"/>
    <w:rPr>
      <w:rFonts w:eastAsiaTheme="majorEastAsia" w:cstheme="majorBidi"/>
      <w:color w:val="272727" w:themeColor="text1" w:themeTint="D8"/>
    </w:rPr>
  </w:style>
  <w:style w:type="paragraph" w:styleId="Title">
    <w:name w:val="Title"/>
    <w:basedOn w:val="Normal"/>
    <w:next w:val="Normal"/>
    <w:link w:val="TitleChar"/>
    <w:uiPriority w:val="10"/>
    <w:qFormat/>
    <w:rsid w:val="00507A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A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A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7A61"/>
    <w:rPr>
      <w:i/>
      <w:iCs/>
      <w:color w:val="404040" w:themeColor="text1" w:themeTint="BF"/>
    </w:rPr>
  </w:style>
  <w:style w:type="paragraph" w:styleId="ListParagraph">
    <w:name w:val="List Paragraph"/>
    <w:basedOn w:val="Normal"/>
    <w:uiPriority w:val="34"/>
    <w:qFormat/>
    <w:rsid w:val="00507A61"/>
    <w:pPr>
      <w:ind w:left="720"/>
      <w:contextualSpacing/>
    </w:pPr>
  </w:style>
  <w:style w:type="character" w:styleId="IntenseEmphasis">
    <w:name w:val="Intense Emphasis"/>
    <w:basedOn w:val="DefaultParagraphFont"/>
    <w:uiPriority w:val="21"/>
    <w:qFormat/>
    <w:rsid w:val="00507A61"/>
    <w:rPr>
      <w:i/>
      <w:iCs/>
      <w:color w:val="0F4761" w:themeColor="accent1" w:themeShade="BF"/>
    </w:rPr>
  </w:style>
  <w:style w:type="paragraph" w:styleId="IntenseQuote">
    <w:name w:val="Intense Quote"/>
    <w:basedOn w:val="Normal"/>
    <w:next w:val="Normal"/>
    <w:link w:val="IntenseQuoteChar"/>
    <w:uiPriority w:val="30"/>
    <w:qFormat/>
    <w:rsid w:val="00507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A61"/>
    <w:rPr>
      <w:i/>
      <w:iCs/>
      <w:color w:val="0F4761" w:themeColor="accent1" w:themeShade="BF"/>
    </w:rPr>
  </w:style>
  <w:style w:type="character" w:styleId="IntenseReference">
    <w:name w:val="Intense Reference"/>
    <w:basedOn w:val="DefaultParagraphFont"/>
    <w:uiPriority w:val="32"/>
    <w:qFormat/>
    <w:rsid w:val="00507A61"/>
    <w:rPr>
      <w:b/>
      <w:bCs/>
      <w:smallCaps/>
      <w:color w:val="0F4761" w:themeColor="accent1" w:themeShade="BF"/>
      <w:spacing w:val="5"/>
    </w:rPr>
  </w:style>
  <w:style w:type="paragraph" w:customStyle="1" w:styleId="p1">
    <w:name w:val="p1"/>
    <w:basedOn w:val="Normal"/>
    <w:rsid w:val="00507A61"/>
    <w:pPr>
      <w:spacing w:before="100" w:before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07A61"/>
  </w:style>
  <w:style w:type="paragraph" w:customStyle="1" w:styleId="p2">
    <w:name w:val="p2"/>
    <w:basedOn w:val="Normal"/>
    <w:rsid w:val="00507A61"/>
    <w:pPr>
      <w:spacing w:before="100" w:beforeAutospacing="1"/>
    </w:pPr>
    <w:rPr>
      <w:rFonts w:ascii="Times New Roman" w:eastAsia="Times New Roman" w:hAnsi="Times New Roman" w:cs="Times New Roman"/>
      <w:kern w:val="0"/>
      <w:lang w:eastAsia="en-GB"/>
      <w14:ligatures w14:val="none"/>
    </w:rPr>
  </w:style>
  <w:style w:type="paragraph" w:customStyle="1" w:styleId="p3">
    <w:name w:val="p3"/>
    <w:basedOn w:val="Normal"/>
    <w:rsid w:val="00507A61"/>
    <w:pPr>
      <w:spacing w:before="100" w:beforeAutospacing="1"/>
    </w:pPr>
    <w:rPr>
      <w:rFonts w:ascii="Times New Roman" w:eastAsia="Times New Roman" w:hAnsi="Times New Roman" w:cs="Times New Roman"/>
      <w:kern w:val="0"/>
      <w:lang w:eastAsia="en-GB"/>
      <w14:ligatures w14:val="none"/>
    </w:rPr>
  </w:style>
  <w:style w:type="paragraph" w:customStyle="1" w:styleId="p4">
    <w:name w:val="p4"/>
    <w:basedOn w:val="Normal"/>
    <w:rsid w:val="00507A61"/>
    <w:pPr>
      <w:spacing w:before="100" w:before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507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86F0C-0199-C14A-8327-E4FB4CFD9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savani ravi</dc:creator>
  <cp:keywords/>
  <dc:description/>
  <cp:lastModifiedBy>savani ravi</cp:lastModifiedBy>
  <cp:revision>31</cp:revision>
  <dcterms:created xsi:type="dcterms:W3CDTF">2025-09-24T06:29:00Z</dcterms:created>
  <dcterms:modified xsi:type="dcterms:W3CDTF">2025-09-26T11:34:00Z</dcterms:modified>
</cp:coreProperties>
</file>