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0883f25f9c40f660765aa5cf598672a2f4b5e90"/>
    <w:p>
      <w:pPr>
        <w:pStyle w:val="Heading1"/>
      </w:pPr>
      <w:r>
        <w:t xml:space="preserve">Where You Are and Who You Are: Applicability Errors and Misplaced Trust in a Legal RAG Assistant, Audited with Its Users</w:t>
      </w:r>
    </w:p>
    <w:p>
      <w:pPr>
        <w:pStyle w:val="FirstParagraph"/>
      </w:pPr>
      <w:r>
        <w:rPr>
          <w:i/>
          <w:iCs/>
        </w:rPr>
        <w:t xml:space="preserve">Preliminary draft v1 (31 October 2026). Anonymous submission to ACM FAccT 2027. Round-2 data frozen on 31 October</w:t>
      </w:r>
      <w:r>
        <w:rPr>
          <w:i/>
          <w:iCs/>
        </w:rPr>
        <w:t xml:space="preserve"> </w:t>
      </w:r>
      <w:r>
        <w:rPr>
          <w:i/>
          <w:iCs/>
        </w:rPr>
        <w:t xml:space="preserve">2026, 07:57 UTC; collection continues. Every number has a source in Appendix A. Items marked ⚠ must be checked before</w:t>
      </w:r>
      <w:r>
        <w:rPr>
          <w:i/>
          <w:iCs/>
        </w:rPr>
        <w:t xml:space="preserve"> </w:t>
      </w:r>
      <w:r>
        <w:rPr>
          <w:i/>
          <w:iCs/>
        </w:rPr>
        <w:t xml:space="preserve">submission.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Retrieval-augmented generation (RAG) is promoted to widen access to legal information, yet legal RAG is usually</w:t>
      </w:r>
      <w:r>
        <w:t xml:space="preserve"> </w:t>
      </w:r>
      <w:r>
        <w:t xml:space="preserve">evaluated with questions written by experts. In Mexico, criminal law is split across a federal code, a national</w:t>
      </w:r>
      <w:r>
        <w:t xml:space="preserve"> </w:t>
      </w:r>
      <w:r>
        <w:t xml:space="preserve">procedural code and 32 state penal codes, so whether a law applies depends on where the facts occurred. We audit an</w:t>
      </w:r>
      <w:r>
        <w:t xml:space="preserve"> </w:t>
      </w:r>
      <w:r>
        <w:t xml:space="preserve">open-weight, locally hosted RAG assistant over Mexican criminal law in two rounds with its intended users, who consulted</w:t>
      </w:r>
      <w:r>
        <w:t xml:space="preserve"> </w:t>
      </w:r>
      <w:r>
        <w:t xml:space="preserve">it in their own words about three fictional situations. In round 1 (45 participants), 53% of first answers (57 of 107)</w:t>
      </w:r>
      <w:r>
        <w:t xml:space="preserve"> </w:t>
      </w:r>
      <w:r>
        <w:t xml:space="preserve">named the penal code of a state other than the one where the facts occurred, and in 120 of 121 cases that code had been</w:t>
      </w:r>
      <w:r>
        <w:t xml:space="preserve"> </w:t>
      </w:r>
      <w:r>
        <w:t xml:space="preserve">supplied by retrieval, not invented by the model. Participants without legal training noticed a problem in 8% of</w:t>
      </w:r>
      <w:r>
        <w:t xml:space="preserve"> </w:t>
      </w:r>
      <w:r>
        <w:t xml:space="preserve">situations, yet said they would act on the answer in 64%. A jurisdiction gate, an LLM step that identifies where the</w:t>
      </w:r>
      <w:r>
        <w:t xml:space="preserve"> </w:t>
      </w:r>
      <w:r>
        <w:t xml:space="preserve">facts occurred and restricts retrieval to that state’s code plus national law, cut wrong-state answers from 60% to 2%</w:t>
      </w:r>
      <w:r>
        <w:t xml:space="preserve"> </w:t>
      </w:r>
      <w:r>
        <w:t xml:space="preserve">when replayed on all 108 real conversations, with no loss in citing the correct law. Deployed in round 2 (52</w:t>
      </w:r>
      <w:r>
        <w:t xml:space="preserve"> </w:t>
      </w:r>
      <w:r>
        <w:t xml:space="preserve">participants so far), only 2 of 117 first answers named another state’s code. Round 2 also assigned each participant at</w:t>
      </w:r>
      <w:r>
        <w:t xml:space="preserve"> </w:t>
      </w:r>
      <w:r>
        <w:t xml:space="preserve">random one of three system prompts: a formal legal prompt, a warm and comprehensive one, and a plain and cautious one.</w:t>
      </w:r>
      <w:r>
        <w:t xml:space="preserve"> </w:t>
      </w:r>
      <w:r>
        <w:t xml:space="preserve">Among participants without legal training, both plain-language prompts raised the share who would act on the answer</w:t>
      </w:r>
      <w:r>
        <w:t xml:space="preserve"> </w:t>
      </w:r>
      <w:r>
        <w:t xml:space="preserve">from 35% to 86–88% (+50 and +52 points; 95% CIs from 24 to 77) and raised trust in the answer by up to one point on a five-point</w:t>
      </w:r>
      <w:r>
        <w:t xml:space="preserve"> </w:t>
      </w:r>
      <w:r>
        <w:t xml:space="preserve">scale, while comprehension did not change (63%, 63% and 70%). Problem detection stayed between 4% and 12%. Fixing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exposed a second applicability condition,</w:t>
      </w:r>
      <w:r>
        <w:t xml:space="preserve"> </w:t>
      </w:r>
      <w:r>
        <w:rPr>
          <w:i/>
          <w:iCs/>
        </w:rPr>
        <w:t xml:space="preserve">who</w:t>
      </w:r>
      <w:r>
        <w:t xml:space="preserve">: after the gate, answers in a gender-neutral extortion scenario</w:t>
      </w:r>
      <w:r>
        <w:t xml:space="preserve"> </w:t>
      </w:r>
      <w:r>
        <w:t xml:space="preserve">cited a law that protects only women in 33% of replayed answers. We argue that legal RAG must be evaluated with the</w:t>
      </w:r>
      <w:r>
        <w:t xml:space="preserve"> </w:t>
      </w:r>
      <w:r>
        <w:t xml:space="preserve">people it serves, that its metrics must check whether a cited law applies to where they are and who they are, and that</w:t>
      </w:r>
      <w:r>
        <w:t xml:space="preserve"> </w:t>
      </w:r>
      <w:r>
        <w:t xml:space="preserve">tone is a safety variable, not only a usability one.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legal information access, retrieval-augmented generation, jurisdiction, user study, evaluation practices,</w:t>
      </w:r>
      <w:r>
        <w:t xml:space="preserve"> </w:t>
      </w:r>
      <w:r>
        <w:t xml:space="preserve">overreliance, sycophancy, access to justice, Mexico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People meet legal problems before they can afford or reach a lawyer. A conversational assistant appears to lower that</w:t>
      </w:r>
      <w:r>
        <w:t xml:space="preserve"> </w:t>
      </w:r>
      <w:r>
        <w:t xml:space="preserve">barrier: a person describes what happened in ordinary words and receives an explanation of possible offenses, rights and</w:t>
      </w:r>
      <w:r>
        <w:t xml:space="preserve"> </w:t>
      </w:r>
      <w:r>
        <w:t xml:space="preserve">next steps, with citations to the law. Retrieval-augmented generation (RAG) is the standard way to ground such answers in</w:t>
      </w:r>
      <w:r>
        <w:t xml:space="preserve"> </w:t>
      </w:r>
      <w:r>
        <w:t xml:space="preserve">real legal text, and legal-technology vendors advertise it as a cure for hallucination. Audits of commercial legal RAG</w:t>
      </w:r>
      <w:r>
        <w:t xml:space="preserve"> </w:t>
      </w:r>
      <w:r>
        <w:t xml:space="preserve">tools show that it is not [Magesh et al. 2025], and benchmark work shows that models that answer legal questions</w:t>
      </w:r>
      <w:r>
        <w:t xml:space="preserve"> </w:t>
      </w:r>
      <w:r>
        <w:t xml:space="preserve">correctly often cite the wrong jurisdiction’s sources [Yang et al. 2026].</w:t>
      </w:r>
    </w:p>
    <w:p>
      <w:pPr>
        <w:pStyle w:val="BodyText"/>
      </w:pPr>
      <w:r>
        <w:t xml:space="preserve">Two features of the setting we study make this problem acute. First, Mexico is a federal system: each of the 32 states</w:t>
      </w:r>
      <w:r>
        <w:t xml:space="preserve"> </w:t>
      </w:r>
      <w:r>
        <w:t xml:space="preserve">has its own penal code, while some offenses are governed by general laws that apply nationwide and procedure is governed</w:t>
      </w:r>
      <w:r>
        <w:t xml:space="preserve"> </w:t>
      </w:r>
      <w:r>
        <w:t xml:space="preserve">by a single national code. Two state codes can describe the same conduct with different elements and penalties. A</w:t>
      </w:r>
      <w:r>
        <w:t xml:space="preserve"> </w:t>
      </w:r>
      <w:r>
        <w:t xml:space="preserve">citation can therefore be real, quoted correctly, and still inapplicable to the person who reads it. Second, the people</w:t>
      </w:r>
      <w:r>
        <w:t xml:space="preserve"> </w:t>
      </w:r>
      <w:r>
        <w:t xml:space="preserve">who most need free legal orientation are the least able to check which state’s law a citation belongs to. Lay people</w:t>
      </w:r>
      <w:r>
        <w:t xml:space="preserve"> </w:t>
      </w:r>
      <w:r>
        <w:t xml:space="preserve">already prefer LLM-generated legal advice and say they would act on it even when they can tell it apart from a lawyer’s</w:t>
      </w:r>
      <w:r>
        <w:t xml:space="preserve"> </w:t>
      </w:r>
      <w:r>
        <w:t xml:space="preserve">[Schneiders et al. 2025].</w:t>
      </w:r>
    </w:p>
    <w:p>
      <w:pPr>
        <w:pStyle w:val="BodyText"/>
      </w:pPr>
      <w:r>
        <w:t xml:space="preserve">We report a two-round audit of an open-weight RAG assistant for Mexican criminal law, run with its intended users</w:t>
      </w:r>
      <w:r>
        <w:t xml:space="preserve"> </w:t>
      </w:r>
      <w:r>
        <w:t xml:space="preserve">rather than with expert-written questions. In each round, participants consulted the assistant in their own words about</w:t>
      </w:r>
      <w:r>
        <w:t xml:space="preserve"> </w:t>
      </w:r>
      <w:r>
        <w:t xml:space="preserve">three fictional situations whose correct answers depend on where the facts occurred. Between rounds we repaired the</w:t>
      </w:r>
      <w:r>
        <w:t xml:space="preserve"> </w:t>
      </w:r>
      <w:r>
        <w:t xml:space="preserve">failure that round 1 exposed and replayed every real round-1 conversation through the repaired system. In round 2 we</w:t>
      </w:r>
      <w:r>
        <w:t xml:space="preserve"> </w:t>
      </w:r>
      <w:r>
        <w:t xml:space="preserve">deployed the repair and assigned each participant at random one of three system prompts that differ in register and</w:t>
      </w:r>
      <w:r>
        <w:t xml:space="preserve"> </w:t>
      </w:r>
      <w:r>
        <w:t xml:space="preserve">tone.</w:t>
      </w:r>
    </w:p>
    <w:p>
      <w:pPr>
        <w:pStyle w:val="BodyText"/>
      </w:pPr>
      <w:r>
        <w:t xml:space="preserve">We ask four research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RQ1.</w:t>
      </w:r>
      <w:r>
        <w:t xml:space="preserve"> </w:t>
      </w:r>
      <w:r>
        <w:t xml:space="preserve">How often does the assistant cite law from a state other than the one where the facts occurred, and where in</w:t>
      </w:r>
      <w:r>
        <w:t xml:space="preserve"> </w:t>
      </w:r>
      <w:r>
        <w:t xml:space="preserve">the pipeline does that law come from?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RQ2.</w:t>
      </w:r>
      <w:r>
        <w:t xml:space="preserve"> </w:t>
      </w:r>
      <w:r>
        <w:t xml:space="preserve">Do users notice these errors, and does legal training change that?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RQ3.</w:t>
      </w:r>
      <w:r>
        <w:t xml:space="preserve"> </w:t>
      </w:r>
      <w:r>
        <w:t xml:space="preserve">Does a system-level jurisdiction gate remove the error, and what does it expose?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RQ4.</w:t>
      </w:r>
      <w:r>
        <w:t xml:space="preserve"> </w:t>
      </w:r>
      <w:r>
        <w:t xml:space="preserve">Does a plain-language, warmer prompt improve comprehension, or does it raise trust and willingness to act</w:t>
      </w:r>
      <w:r>
        <w:t xml:space="preserve"> </w:t>
      </w:r>
      <w:r>
        <w:t xml:space="preserve">without improving comprehension?</w:t>
      </w:r>
    </w:p>
    <w:p>
      <w:pPr>
        <w:pStyle w:val="FirstParagraph"/>
      </w:pPr>
      <w:r>
        <w:t xml:space="preserve">Our contributions are: (1) evidence, from real conversations, that wrong-jurisdiction citations in legal RAG are mostly</w:t>
      </w:r>
      <w:r>
        <w:t xml:space="preserve"> </w:t>
      </w:r>
      <w:r>
        <w:t xml:space="preserve">a retrieval failure, invisible to most users; (2) a jurisdiction gate evaluated by replaying every real conversation,</w:t>
      </w:r>
      <w:r>
        <w:t xml:space="preserve"> </w:t>
      </w:r>
      <w:r>
        <w:t xml:space="preserve">then deployed; (3) a randomized comparison of three prompts showing that plain, warm language raised trust and stated</w:t>
      </w:r>
      <w:r>
        <w:t xml:space="preserve"> </w:t>
      </w:r>
      <w:r>
        <w:t xml:space="preserve">willingness to act among lay users without raising their comprehension; (4) the observation that applicability has at</w:t>
      </w:r>
      <w:r>
        <w:t xml:space="preserve"> </w:t>
      </w:r>
      <w:r>
        <w:t xml:space="preserve">least two conditions, where the person is and who the person is, and that the second surfaces only after the first is</w:t>
      </w:r>
      <w:r>
        <w:t xml:space="preserve"> </w:t>
      </w:r>
      <w:r>
        <w:t xml:space="preserve">fixed; and (5) a methodological lesson: our own place-name metrics misled us twice, and we document how.</w:t>
      </w:r>
    </w:p>
    <w:bookmarkEnd w:id="10"/>
    <w:bookmarkStart w:id="16" w:name="background-and-related-work"/>
    <w:p>
      <w:pPr>
        <w:pStyle w:val="Heading2"/>
      </w:pPr>
      <w:r>
        <w:t xml:space="preserve">2. Background and related work</w:t>
      </w:r>
    </w:p>
    <w:bookmarkStart w:id="11" w:name="Xc9234dbfb95820051c996b4dca73352ead2a2bf"/>
    <w:p>
      <w:pPr>
        <w:pStyle w:val="Heading3"/>
      </w:pPr>
      <w:r>
        <w:t xml:space="preserve">2.1 Legal hallucination and misgrounded citations</w:t>
      </w:r>
    </w:p>
    <w:p>
      <w:pPr>
        <w:pStyle w:val="FirstParagraph"/>
      </w:pPr>
      <w:r>
        <w:t xml:space="preserve">General-purpose LLMs hallucinate legal facts and do not reliably recognize their own errors [Dahl et al. 2024]. RAG</w:t>
      </w:r>
      <w:r>
        <w:t xml:space="preserve"> </w:t>
      </w:r>
      <w:r>
        <w:t xml:space="preserve">reduces but does not eliminate this: in a preregistered evaluation, commercial legal research tools built on RAG</w:t>
      </w:r>
      <w:r>
        <w:t xml:space="preserve"> </w:t>
      </w:r>
      <w:r>
        <w:t xml:space="preserve">hallucinated in more than 17% of queries, and the authors count as an error an answer that is</w:t>
      </w:r>
      <w:r>
        <w:t xml:space="preserve"> </w:t>
      </w:r>
      <w:r>
        <w:rPr>
          <w:i/>
          <w:iCs/>
        </w:rPr>
        <w:t xml:space="preserve">misgrounded</w:t>
      </w:r>
      <w:r>
        <w:t xml:space="preserve">, citing a</w:t>
      </w:r>
      <w:r>
        <w:t xml:space="preserve"> </w:t>
      </w:r>
      <w:r>
        <w:t xml:space="preserve">real source that does not support the claim [Magesh et al. 2025]. Our wrong-state citations are a specific kind of</w:t>
      </w:r>
      <w:r>
        <w:t xml:space="preserve"> </w:t>
      </w:r>
      <w:r>
        <w:t xml:space="preserve">misgrounding: the source exists and may even support the sentence, but it does not govern the facts. Benchmarks are</w:t>
      </w:r>
      <w:r>
        <w:t xml:space="preserve"> </w:t>
      </w:r>
      <w:r>
        <w:t xml:space="preserve">beginning to target this. CrossLex pairs the same fact patterns across China, California and Germany and finds that</w:t>
      </w:r>
      <w:r>
        <w:t xml:space="preserve"> </w:t>
      </w:r>
      <w:r>
        <w:t xml:space="preserve">models often answer correctly but fail to cite the right jurisdiction’s authorities [Yang et al. 2026]; Housing Statute</w:t>
      </w:r>
      <w:r>
        <w:t xml:space="preserve"> </w:t>
      </w:r>
      <w:r>
        <w:t xml:space="preserve">QA already treats jurisdiction as a hard retrieval boundary with separate candidate pools per jurisdiction [Zheng et al.</w:t>
      </w:r>
      <w:r>
        <w:t xml:space="preserve"> </w:t>
      </w:r>
      <w:r>
        <w:t xml:space="preserve">2025]. These benchmarks compare countries or US states with expert-written questions. We study states inside one</w:t>
      </w:r>
      <w:r>
        <w:t xml:space="preserve"> </w:t>
      </w:r>
      <w:r>
        <w:t xml:space="preserve">federal country, with questions written by users.</w:t>
      </w:r>
    </w:p>
    <w:p>
      <w:pPr>
        <w:pStyle w:val="BodyText"/>
      </w:pPr>
      <w:r>
        <w:t xml:space="preserve">Spanish-language legal NLP is under-resourced. A 2026 systematic review found no dedicated legal question-answering</w:t>
      </w:r>
      <w:r>
        <w:t xml:space="preserve"> </w:t>
      </w:r>
      <w:r>
        <w:t xml:space="preserve">benchmark for Spanish-speaking jurisdictions in Latin America, and in a new bar-exam benchmark from Bolivia, Colombia and</w:t>
      </w:r>
      <w:r>
        <w:t xml:space="preserve"> </w:t>
      </w:r>
      <w:r>
        <w:t xml:space="preserve">Puerto Rico, criminal law was among the weakest areas for frontier models (66% accuracy) [Mind the Gap 2026 ⚠ authors].</w:t>
      </w:r>
      <w:r>
        <w:t xml:space="preserve"> </w:t>
      </w:r>
      <w:r>
        <w:t xml:space="preserve">We are not aware of a user study of a legal assistant for Mexican law. ⚠ Systematic search of ACM DL, ACL Anthology,</w:t>
      </w:r>
      <w:r>
        <w:t xml:space="preserve"> </w:t>
      </w:r>
      <w:r>
        <w:t xml:space="preserve">ICAIL, JURIX, NLLP and CS&amp;Law still pending before claiming</w:t>
      </w:r>
      <w:r>
        <w:t xml:space="preserve"> </w:t>
      </w:r>
      <w:r>
        <w:t xml:space="preserve">“first”</w:t>
      </w:r>
      <w:r>
        <w:t xml:space="preserve">.</w:t>
      </w:r>
    </w:p>
    <w:bookmarkEnd w:id="11"/>
    <w:bookmarkStart w:id="12" w:name="why-retrieved-context-drives-the-error"/>
    <w:p>
      <w:pPr>
        <w:pStyle w:val="Heading3"/>
      </w:pPr>
      <w:r>
        <w:t xml:space="preserve">2.2 Why retrieved context drives the error</w:t>
      </w:r>
    </w:p>
    <w:p>
      <w:pPr>
        <w:pStyle w:val="FirstParagraph"/>
      </w:pPr>
      <w:r>
        <w:t xml:space="preserve">Models follow retrieved context, even when it is irrelevant or conflicting. Irrelevant information degrades answers and</w:t>
      </w:r>
      <w:r>
        <w:t xml:space="preserve"> </w:t>
      </w:r>
      <w:r>
        <w:t xml:space="preserve">an instruction to ignore it helps only partly [Shi et al. 2023]; documents that are related but not relevant hurt RAG</w:t>
      </w:r>
      <w:r>
        <w:t xml:space="preserve"> </w:t>
      </w:r>
      <w:r>
        <w:t xml:space="preserve">more than random ones [Cuconasu et al. 2024]; and models readily adopt coherent external evidence even against their own</w:t>
      </w:r>
      <w:r>
        <w:t xml:space="preserve"> </w:t>
      </w:r>
      <w:r>
        <w:t xml:space="preserve">knowledge [Xie et al. 2024]. Another state’s article on the same offense is exactly a related-but-not-relevant,</w:t>
      </w:r>
      <w:r>
        <w:t xml:space="preserve"> </w:t>
      </w:r>
      <w:r>
        <w:t xml:space="preserve">coherent document, and two states’ articles in one context are an inter-context knowledge conflict [Xu et al. 2024].</w:t>
      </w:r>
      <w:r>
        <w:t xml:space="preserve"> </w:t>
      </w:r>
      <w:r>
        <w:t xml:space="preserve">This predicts what we found: prompting the model not to cite other states helps little while their articles remain in</w:t>
      </w:r>
      <w:r>
        <w:t xml:space="preserve"> </w:t>
      </w:r>
      <w:r>
        <w:t xml:space="preserve">the context. The fix we evaluate, restricting retrieval by metadata before search, is a common practitioner pattern</w:t>
      </w:r>
      <w:r>
        <w:t xml:space="preserve"> </w:t>
      </w:r>
      <w:r>
        <w:t xml:space="preserve">(self-querying retrieval) and has helped in another regulated domain [Dadopoulos et al. 2025]; we add a legal fallback:</w:t>
      </w:r>
      <w:r>
        <w:t xml:space="preserve"> </w:t>
      </w:r>
      <w:r>
        <w:t xml:space="preserve">when no place is found, retrieve only national law and ask.</w:t>
      </w:r>
    </w:p>
    <w:bookmarkEnd w:id="12"/>
    <w:bookmarkStart w:id="13" w:name="lay-users-trust-and-overreliance"/>
    <w:p>
      <w:pPr>
        <w:pStyle w:val="Heading3"/>
      </w:pPr>
      <w:r>
        <w:t xml:space="preserve">2.3 Lay users, trust and overreliance</w:t>
      </w:r>
    </w:p>
    <w:p>
      <w:pPr>
        <w:pStyle w:val="FirstParagraph"/>
      </w:pPr>
      <w:r>
        <w:t xml:space="preserve">Lay people tend to prefer LLM legal advice and report greater willingness to act on it than on a lawyer’s advice</w:t>
      </w:r>
      <w:r>
        <w:t xml:space="preserve"> </w:t>
      </w:r>
      <w:r>
        <w:t xml:space="preserve">[Schneiders et al. 2025]. People overestimate the accuracy of LLM answers, more so for longer explanations [Steyvers et</w:t>
      </w:r>
      <w:r>
        <w:t xml:space="preserve"> </w:t>
      </w:r>
      <w:r>
        <w:t xml:space="preserve">al. 2025]. Fluent LLM explanations raise confidence and reliance without reliably raising accuracy, and subjective trust</w:t>
      </w:r>
      <w:r>
        <w:t xml:space="preserve"> </w:t>
      </w:r>
      <w:r>
        <w:t xml:space="preserve">and perceived clarity predict human–AI team performance poorly [Cohen et al. 2026 ⚠ preprint]. Hedged, first-person</w:t>
      </w:r>
      <w:r>
        <w:t xml:space="preserve"> </w:t>
      </w:r>
      <w:r>
        <w:t xml:space="preserve">expressions of uncertainty reduce, but do not eliminate, overreliance [Kim et al. 2024]. Explanations reduce</w:t>
      </w:r>
      <w:r>
        <w:t xml:space="preserve"> </w:t>
      </w:r>
      <w:r>
        <w:t xml:space="preserve">overreliance only when they are easier to verify than the task itself [Vasconcelos et al. 2023], and cognitive forcing</w:t>
      </w:r>
      <w:r>
        <w:t xml:space="preserve"> </w:t>
      </w:r>
      <w:r>
        <w:t xml:space="preserve">functions reduce it at a cost in user satisfaction [Buçinca et al. 2021].</w:t>
      </w:r>
    </w:p>
    <w:bookmarkEnd w:id="13"/>
    <w:bookmarkStart w:id="14" w:name="warmth-tone-and-sycophancy"/>
    <w:p>
      <w:pPr>
        <w:pStyle w:val="Heading3"/>
      </w:pPr>
      <w:r>
        <w:t xml:space="preserve">2.4 Warmth, tone and sycophancy</w:t>
      </w:r>
    </w:p>
    <w:p>
      <w:pPr>
        <w:pStyle w:val="FirstParagraph"/>
      </w:pPr>
      <w:r>
        <w:t xml:space="preserve">Tone is not neutral. Fine-tuning models to be warmer and more empathetic raised their error rates on safety-critical</w:t>
      </w:r>
      <w:r>
        <w:t xml:space="preserve"> </w:t>
      </w:r>
      <w:r>
        <w:t xml:space="preserve">tasks by 10 to 30 percentage points and made them more likely to validate users’ incorrect beliefs, especially when</w:t>
      </w:r>
      <w:r>
        <w:t xml:space="preserve"> </w:t>
      </w:r>
      <w:r>
        <w:t xml:space="preserve">users expressed sadness or confusion; training the same models to be colder did not [Ibrahim et al. 2025 ⚠ preprint].</w:t>
      </w:r>
      <w:r>
        <w:t xml:space="preserve"> </w:t>
      </w:r>
      <w:r>
        <w:t xml:space="preserve">Models preserve users’ face far more than humans do in advice settings (social sycophancy) [Cheng et al. 2026], and</w:t>
      </w:r>
      <w:r>
        <w:t xml:space="preserve"> </w:t>
      </w:r>
      <w:r>
        <w:t xml:space="preserve">human preference data reward answers that agree with the user [Sharma et al. 2024]. On the user side, warmth and</w:t>
      </w:r>
      <w:r>
        <w:t xml:space="preserve"> </w:t>
      </w:r>
      <w:r>
        <w:t xml:space="preserve">empathy in a chatbot’s presentation shape perceived trust and usefulness even when the underlying model is unchanged</w:t>
      </w:r>
      <w:r>
        <w:t xml:space="preserve"> </w:t>
      </w:r>
      <w:r>
        <w:t xml:space="preserve">[⚠ arXiv 2604.15316, authors to confirm], and anthropomorphic cues raise perceived accuracy [Cohn et al. 2024]. At</w:t>
      </w:r>
      <w:r>
        <w:t xml:space="preserve"> </w:t>
      </w:r>
      <w:r>
        <w:t xml:space="preserve">FAccT, writing in the user’s own sociolect did not raise reliance [Basoah et al. 2025]. Legal-design work treats plain</w:t>
      </w:r>
      <w:r>
        <w:t xml:space="preserve"> </w:t>
      </w:r>
      <w:r>
        <w:t xml:space="preserve">language as a quality criterion of good legal help [Hagan 2024]. Our round-2 manipulation sits between these</w:t>
      </w:r>
      <w:r>
        <w:t xml:space="preserve"> </w:t>
      </w:r>
      <w:r>
        <w:t xml:space="preserve">literatures: we did not fine-tune the model, we only changed the system prompt, and we measured comprehension</w:t>
      </w:r>
      <w:r>
        <w:t xml:space="preserve"> </w:t>
      </w:r>
      <w:r>
        <w:t xml:space="preserve">separately from trust and willingness to act.</w:t>
      </w:r>
    </w:p>
    <w:bookmarkEnd w:id="14"/>
    <w:bookmarkStart w:id="15" w:name="auditing-across-the-pipeline"/>
    <w:p>
      <w:pPr>
        <w:pStyle w:val="Heading3"/>
      </w:pPr>
      <w:r>
        <w:t xml:space="preserve">2.5 Auditing across the pipeline</w:t>
      </w:r>
    </w:p>
    <w:p>
      <w:pPr>
        <w:pStyle w:val="FirstParagraph"/>
      </w:pPr>
      <w:r>
        <w:t xml:space="preserve">Lifecycle audits trace harms to upstream design choices rather than to</w:t>
      </w:r>
      <w:r>
        <w:t xml:space="preserve"> </w:t>
      </w:r>
      <w:r>
        <w:t xml:space="preserve">“model error”</w:t>
      </w:r>
      <w:r>
        <w:t xml:space="preserve"> </w:t>
      </w:r>
      <w:r>
        <w:t xml:space="preserve">[Raji et al. 2020; Suresh and</w:t>
      </w:r>
      <w:r>
        <w:t xml:space="preserve"> </w:t>
      </w:r>
      <w:r>
        <w:t xml:space="preserve">Guttag 2021], and deployed AI often fails at the basic function it implies [Raji et al. 2022]. An assistant that cites</w:t>
      </w:r>
      <w:r>
        <w:t xml:space="preserve"> </w:t>
      </w:r>
      <w:r>
        <w:t xml:space="preserve">another state’s code fails at the function a legal assistant implies: telling you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law.</w:t>
      </w:r>
    </w:p>
    <w:bookmarkEnd w:id="15"/>
    <w:bookmarkEnd w:id="16"/>
    <w:bookmarkStart w:id="17" w:name="system"/>
    <w:p>
      <w:pPr>
        <w:pStyle w:val="Heading2"/>
      </w:pPr>
      <w:r>
        <w:t xml:space="preserve">3. System</w:t>
      </w:r>
    </w:p>
    <w:p>
      <w:pPr>
        <w:pStyle w:val="FirstParagraph"/>
      </w:pPr>
      <w:r>
        <w:t xml:space="preserve">The assistant is a self-hosted RAG system. Generation uses an open-weight Gemma model served with llama.cpp on a single</w:t>
      </w:r>
      <w:r>
        <w:t xml:space="preserve"> </w:t>
      </w:r>
      <w:r>
        <w:t xml:space="preserve">GPU (⚠ confirm exact model and quantization: served alias</w:t>
      </w:r>
      <w:r>
        <w:t xml:space="preserve"> </w:t>
      </w:r>
      <w:r>
        <w:rPr>
          <w:rStyle w:val="VerbatimChar"/>
        </w:rPr>
        <w:t xml:space="preserve">Gemma-4-4B-8b</w:t>
      </w:r>
      <w:r>
        <w:t xml:space="preserve">; earlier draft says Gemma 4 26B-A4B). The</w:t>
      </w:r>
      <w:r>
        <w:t xml:space="preserve"> </w:t>
      </w:r>
      <w:r>
        <w:t xml:space="preserve">corpus for criminal law had 51 sources and 8,557 passages in round 1: the Federal Penal Code, the National Code of</w:t>
      </w:r>
      <w:r>
        <w:t xml:space="preserve"> </w:t>
      </w:r>
      <w:r>
        <w:t xml:space="preserve">Criminal Procedure, the penal codes of Mexico City, the State of Mexico, Morelos and Querétaro, several general laws</w:t>
      </w:r>
      <w:r>
        <w:t xml:space="preserve"> </w:t>
      </w:r>
      <w:r>
        <w:t xml:space="preserve">(including the General Law on Extortion and the General Law on Women’s Access to a Life Free of Violence), doctrine,</w:t>
      </w:r>
      <w:r>
        <w:t xml:space="preserve"> </w:t>
      </w:r>
      <w:r>
        <w:t xml:space="preserve">and materials on digital violence. Statutes are split roughly one article per passage, with the law name and hierarchy</w:t>
      </w:r>
      <w:r>
        <w:t xml:space="preserve"> </w:t>
      </w:r>
      <w:r>
        <w:t xml:space="preserve">in the passage text.</w:t>
      </w:r>
    </w:p>
    <w:p>
      <w:pPr>
        <w:pStyle w:val="BodyText"/>
      </w:pPr>
      <w:r>
        <w:t xml:space="preserve">Retrieval combines BM25 with dense embeddings (Qwen3-Embedding-0.6B) by reciprocal-rank fusion, plus hypothetical</w:t>
      </w:r>
      <w:r>
        <w:t xml:space="preserve"> </w:t>
      </w:r>
      <w:r>
        <w:t xml:space="preserve">document embeddings (HyDE) [Gao et al. 2023], query decomposition for comparative questions, and neighboring articles.</w:t>
      </w:r>
      <w:r>
        <w:t xml:space="preserve"> </w:t>
      </w:r>
      <w:r>
        <w:t xml:space="preserve">The top 10 passages go to the model. In multi-turn conversations, the system rewrites the current question using the</w:t>
      </w:r>
      <w:r>
        <w:t xml:space="preserve"> </w:t>
      </w:r>
      <w:r>
        <w:t xml:space="preserve">history before searching.</w:t>
      </w:r>
    </w:p>
    <w:p>
      <w:pPr>
        <w:pStyle w:val="BodyText"/>
      </w:pPr>
      <w:r>
        <w:rPr>
          <w:b/>
          <w:bCs/>
        </w:rPr>
        <w:t xml:space="preserve">Round 1 configuration.</w:t>
      </w:r>
      <w:r>
        <w:t xml:space="preserve"> </w:t>
      </w:r>
      <w:r>
        <w:t xml:space="preserve">When a user named a state, the router added a search restricted to that state’s code and</w:t>
      </w:r>
      <w:r>
        <w:t xml:space="preserve"> </w:t>
      </w:r>
      <w:r>
        <w:t xml:space="preserve">interleaved it with the general search. It did not remove other states’ passages.</w:t>
      </w:r>
    </w:p>
    <w:p>
      <w:pPr>
        <w:pStyle w:val="BodyText"/>
      </w:pPr>
      <w:r>
        <w:rPr>
          <w:b/>
          <w:bCs/>
        </w:rPr>
        <w:t xml:space="preserve">Round 2 configuration (changes made between rounds).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Jurisdiction gate.</w:t>
      </w:r>
      <w:r>
        <w:t xml:space="preserve"> </w:t>
      </w:r>
      <w:r>
        <w:t xml:space="preserve">Before retrieval, an LLM step reads the user’s own words (not the HyDE text, which can invent</w:t>
      </w:r>
      <w:r>
        <w:t xml:space="preserve"> </w:t>
      </w:r>
      <w:r>
        <w:t xml:space="preserve">a place) and decides where the facts occurred. If it finds a state, retrieval is restricted to that state’s code plus</w:t>
      </w:r>
      <w:r>
        <w:t xml:space="preserve"> </w:t>
      </w:r>
      <w:r>
        <w:t xml:space="preserve">federal and general law. If it finds none, retrieval is restricted to federal and general law. A second rule decides</w:t>
      </w:r>
      <w:r>
        <w:t xml:space="preserve"> </w:t>
      </w:r>
      <w:r>
        <w:t xml:space="preserve">whether the current question names a place (</w:t>
      </w:r>
      <w:r>
        <w:rPr>
          <w:rStyle w:val="VerbatimChar"/>
        </w:rPr>
        <w:t xml:space="preserve">filtro_ve_pregunta</w:t>
      </w:r>
      <w:r>
        <w:t xml:space="preserve">) so that a later message does not inherit a state</w:t>
      </w:r>
      <w:r>
        <w:t xml:space="preserve"> </w:t>
      </w:r>
      <w:r>
        <w:t xml:space="preserve">from an unrelated earlier 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Reranker.</w:t>
      </w:r>
      <w:r>
        <w:t xml:space="preserve"> </w:t>
      </w:r>
      <w:r>
        <w:t xml:space="preserve">A cross-encoder reranker (Qwen3-Reranker-0.6B) reorders the fused candidates. On round-1 first</w:t>
      </w:r>
      <w:r>
        <w:t xml:space="preserve"> </w:t>
      </w:r>
      <w:r>
        <w:t xml:space="preserve">messages, it raised recall@10 of the expected article from 25.3% to 35.0% (Table 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Nine sources switched off for search</w:t>
      </w:r>
      <w:r>
        <w:t xml:space="preserve"> </w:t>
      </w:r>
      <w:r>
        <w:t xml:space="preserve">on 25 October, the day round 2 opened, by the research team through an</w:t>
      </w:r>
      <w:r>
        <w:t xml:space="preserve"> </w:t>
      </w:r>
      <w:r>
        <w:t xml:space="preserve">administration page: among them the General Law on Women’s Access to a Life Free of Violence and a technical note</w:t>
      </w:r>
      <w:r>
        <w:t xml:space="preserve"> </w:t>
      </w:r>
      <w:r>
        <w:t xml:space="preserve">on</w:t>
      </w:r>
      <w:r>
        <w:t xml:space="preserve"> </w:t>
      </w:r>
      <w:r>
        <w:t xml:space="preserve">“Ley Olimpia”</w:t>
      </w:r>
      <w:r>
        <w:t xml:space="preserve"> </w:t>
      </w:r>
      <w:r>
        <w:t xml:space="preserve">(Section 6.3). Round 2 searches 42 sources and 6,766 passages. Round 1 and all replays used all 51.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 prompts</w:t>
      </w:r>
      <w:r>
        <w:t xml:space="preserve"> </w:t>
      </w:r>
      <w:r>
        <w:t xml:space="preserve">(Section 4.3).</w:t>
      </w:r>
    </w:p>
    <w:p>
      <w:pPr>
        <w:pStyle w:val="FirstParagraph"/>
      </w:pPr>
      <w:r>
        <w:t xml:space="preserve">Answers took 12.1 seconds on average in round 2 (90% within 14.8 s).</w:t>
      </w:r>
    </w:p>
    <w:bookmarkEnd w:id="17"/>
    <w:bookmarkStart w:id="22" w:name="study-design"/>
    <w:p>
      <w:pPr>
        <w:pStyle w:val="Heading2"/>
      </w:pPr>
      <w:r>
        <w:t xml:space="preserve">4. Study design</w:t>
      </w:r>
    </w:p>
    <w:bookmarkStart w:id="18" w:name="situations"/>
    <w:p>
      <w:pPr>
        <w:pStyle w:val="Heading3"/>
      </w:pPr>
      <w:r>
        <w:t xml:space="preserve">4.1 Situations</w:t>
      </w:r>
    </w:p>
    <w:p>
      <w:pPr>
        <w:pStyle w:val="FirstParagraph"/>
      </w:pPr>
      <w:r>
        <w:t xml:space="preserve">Participants saw three fictional situations in random order. Each has an answer key written by a legal expert on our</w:t>
      </w:r>
      <w:r>
        <w:t xml:space="preserve"> </w:t>
      </w:r>
      <w:r>
        <w:t xml:space="preserve">team.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Workplace messages.</w:t>
      </w:r>
      <w:r>
        <w:t xml:space="preserve"> </w:t>
      </w:r>
      <w:r>
        <w:t xml:space="preserve">A supervisor sends sexual messages and offers a promotion for a date; no physical contact.</w:t>
      </w:r>
      <w:r>
        <w:t xml:space="preserve"> </w:t>
      </w:r>
      <w:r>
        <w:t xml:space="preserve">Half the participants (assigned at random) saw the facts in Querétaro, half in Mexico City. Correct law: Querétaro</w:t>
      </w:r>
      <w:r>
        <w:t xml:space="preserve"> </w:t>
      </w:r>
      <w:r>
        <w:t xml:space="preserve">Penal Code art. 167 Ter (sexual harassment by a superior), or Mexico City Penal Code art. 179.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photos.</w:t>
      </w:r>
      <w:r>
        <w:t xml:space="preserve"> </w:t>
      </w:r>
      <w:r>
        <w:t xml:space="preserve">Cris, 24, lives in Querétaro, sent intimate photos to someone met on an app, and is now asked for</w:t>
      </w:r>
      <w:r>
        <w:t xml:space="preserve"> </w:t>
      </w:r>
      <w:r>
        <w:t xml:space="preserve">5,000 pesos under threat of publication. Correct law: extortion under the General Law on Extortion, arts. 15 and 17;</w:t>
      </w:r>
      <w:r>
        <w:t xml:space="preserve"> </w:t>
      </w:r>
      <w:r>
        <w:t xml:space="preserve">Querétaro art. 167 Quinquies is also relevant. The scenario is gender-neutral on purpose.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summons.</w:t>
      </w:r>
      <w:r>
        <w:t xml:space="preserve"> </w:t>
      </w:r>
      <w:r>
        <w:t xml:space="preserve">Ariel lives in Mexico City, hit someone in a bar in Querétaro and received a summons from Querétaro’s</w:t>
      </w:r>
      <w:r>
        <w:t xml:space="preserve"> </w:t>
      </w:r>
      <w:r>
        <w:t xml:space="preserve">prosecutor, and believes Mexico City law applies. Correct law: Querétaro Penal Code art. 1 and National Code of</w:t>
      </w:r>
      <w:r>
        <w:t xml:space="preserve"> </w:t>
      </w:r>
      <w:r>
        <w:t xml:space="preserve">Criminal Procedure art. 20.</w:t>
      </w:r>
    </w:p>
    <w:bookmarkEnd w:id="18"/>
    <w:bookmarkStart w:id="19" w:name="procedure-and-measures"/>
    <w:p>
      <w:pPr>
        <w:pStyle w:val="Heading3"/>
      </w:pPr>
      <w:r>
        <w:t xml:space="preserve">4.2 Procedure and measures</w:t>
      </w:r>
    </w:p>
    <w:p>
      <w:pPr>
        <w:pStyle w:val="FirstParagraph"/>
      </w:pPr>
      <w:r>
        <w:t xml:space="preserve">Consent, a profile questionnaire, a practice question, then three situations. In each situation participants could send</w:t>
      </w:r>
      <w:r>
        <w:t xml:space="preserve"> </w:t>
      </w:r>
      <w:r>
        <w:t xml:space="preserve">the assistant up to six messages in their own words, then answered two multiple-choice comprehension questions,</w:t>
      </w:r>
      <w:r>
        <w:t xml:space="preserve"> </w:t>
      </w:r>
      <w:r>
        <w:t xml:space="preserve">rated their confidence (1–5), said whether they had noticed a problem in the answers, and whether they would act on</w:t>
      </w:r>
      <w:r>
        <w:t xml:space="preserve"> </w:t>
      </w:r>
      <w:r>
        <w:t xml:space="preserve">them. From 26 October, round 2 added two five-point scales after each situation, written by the legal expert: trust in</w:t>
      </w:r>
      <w:r>
        <w:t xml:space="preserve"> </w:t>
      </w:r>
      <w:r>
        <w:t xml:space="preserve">the assistant’s answer and perceived correctness of the legal information. The study ends with the System Usability</w:t>
      </w:r>
      <w:r>
        <w:t xml:space="preserve"> </w:t>
      </w:r>
      <w:r>
        <w:t xml:space="preserve">Scale (SUS) and two open questions.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Comprehension:</w:t>
      </w:r>
      <w:r>
        <w:t xml:space="preserve"> </w:t>
      </w:r>
      <w:r>
        <w:t xml:space="preserve">share of the two questions answered correctly (aciertos), per situation.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Would act / noticed a problem:</w:t>
      </w:r>
      <w:r>
        <w:t xml:space="preserve"> </w:t>
      </w:r>
      <w:r>
        <w:t xml:space="preserve">share of situations with</w:t>
      </w:r>
      <w:r>
        <w:t xml:space="preserve"> </w:t>
      </w:r>
      <w:r>
        <w:t xml:space="preserve">“yes”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Wrong-state code:</w:t>
      </w:r>
      <w:r>
        <w:t xml:space="preserve"> </w:t>
      </w:r>
      <w:r>
        <w:t xml:space="preserve">an answer names the penal code of a state other than the one where the facts occurred (regular</w:t>
      </w:r>
      <w:r>
        <w:t xml:space="preserve"> </w:t>
      </w:r>
      <w:r>
        <w:t xml:space="preserve">expressions over code names; Appendix B explains why this strict version replaced two earlier ones).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Correct law / correct article:</w:t>
      </w:r>
      <w:r>
        <w:t xml:space="preserve"> </w:t>
      </w:r>
      <w:r>
        <w:t xml:space="preserve">the answer cites the law (and article) in the answer key.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Asks for the state:</w:t>
      </w:r>
      <w:r>
        <w:t xml:space="preserve"> </w:t>
      </w:r>
      <w:r>
        <w:t xml:space="preserve">the answer contains a question or direct request about where the facts occurred.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Recall@10:</w:t>
      </w:r>
      <w:r>
        <w:t xml:space="preserve"> </w:t>
      </w:r>
      <w:r>
        <w:t xml:space="preserve">share of expected articles among the 10 passages the retriever returned for the participant’s message.</w:t>
      </w:r>
    </w:p>
    <w:p>
      <w:pPr>
        <w:pStyle w:val="FirstParagraph"/>
      </w:pPr>
      <w:r>
        <w:t xml:space="preserve">We report differences between prompts with 95% confidence intervals from a bootstrap that resamples</w:t>
      </w:r>
      <w:r>
        <w:t xml:space="preserve"> </w:t>
      </w:r>
      <w:r>
        <w:rPr>
          <w:b/>
          <w:bCs/>
        </w:rPr>
        <w:t xml:space="preserve">participants</w:t>
      </w:r>
      <w:r>
        <w:t xml:space="preserve"> </w:t>
      </w:r>
      <w:r>
        <w:t xml:space="preserve">(4,000 replicates), because each person contributes up to three situations.</w:t>
      </w:r>
    </w:p>
    <w:bookmarkEnd w:id="19"/>
    <w:bookmarkStart w:id="20" w:name="conditions"/>
    <w:p>
      <w:pPr>
        <w:pStyle w:val="Heading3"/>
      </w:pPr>
      <w:r>
        <w:t xml:space="preserve">4.3 Conditions</w:t>
      </w:r>
    </w:p>
    <w:p>
      <w:pPr>
        <w:pStyle w:val="FirstParagraph"/>
      </w:pPr>
      <w:r>
        <w:rPr>
          <w:b/>
          <w:bCs/>
        </w:rPr>
        <w:t xml:space="preserve">Round 1</w:t>
      </w:r>
      <w:r>
        <w:t xml:space="preserve"> </w:t>
      </w:r>
      <w:r>
        <w:t xml:space="preserve">compared two prompts with participants assigned at random: the</w:t>
      </w:r>
      <w:r>
        <w:t xml:space="preserve"> </w:t>
      </w:r>
      <w:r>
        <w:rPr>
          <w:b/>
          <w:bCs/>
        </w:rPr>
        <w:t xml:space="preserve">formal legal</w:t>
      </w:r>
      <w:r>
        <w:t xml:space="preserve"> </w:t>
      </w:r>
      <w:r>
        <w:t xml:space="preserve">prompt (the original, written</w:t>
      </w:r>
      <w:r>
        <w:t xml:space="preserve"> </w:t>
      </w:r>
      <w:r>
        <w:t xml:space="preserve">for law students and professionals) and a plain-language prompt; a non-randomized pilot used the formal prompt.</w:t>
      </w:r>
    </w:p>
    <w:p>
      <w:pPr>
        <w:pStyle w:val="BodyText"/>
      </w:pPr>
      <w:r>
        <w:rPr>
          <w:b/>
          <w:bCs/>
        </w:rPr>
        <w:t xml:space="preserve">Round 2</w:t>
      </w:r>
      <w:r>
        <w:t xml:space="preserve"> </w:t>
      </w:r>
      <w:r>
        <w:t xml:space="preserve">assigns each participant at random one of three system prompts, all with the repaired retrieval: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 (id in the data)</w:t>
            </w:r>
          </w:p>
        </w:tc>
        <w:tc>
          <w:tcPr/>
          <w:p>
            <w:pPr>
              <w:pStyle w:val="Compact"/>
            </w:pPr>
            <w:r>
              <w:t xml:space="preserve">Name in this paper</w:t>
            </w:r>
          </w:p>
        </w:tc>
        <w:tc>
          <w:tcPr/>
          <w:p>
            <w:pPr>
              <w:pStyle w:val="Compact"/>
            </w:pPr>
            <w:r>
              <w:t xml:space="preserve">What the prompt asks the model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legal</w:t>
            </w:r>
          </w:p>
        </w:tc>
        <w:tc>
          <w:tcPr/>
          <w:p>
            <w:pPr>
              <w:pStyle w:val="Compact"/>
            </w:pPr>
            <w:r>
              <w:t xml:space="preserve">Answer only from the context, in</w:t>
            </w:r>
            <w:r>
              <w:t xml:space="preserve"> </w:t>
            </w:r>
            <w:r>
              <w:t xml:space="preserve">“clear, precise and professional legal Spanish”</w:t>
            </w:r>
            <w:r>
              <w:t xml:space="preserve"> </w:t>
            </w:r>
            <w:r>
              <w:t xml:space="preserve">for law students and professionals; argumentative paragraphs; sections Answer / Legal basis / Conclusion / Doctrinal sources. Same prompt as round 1 (bridge).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nuevo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Warm and comprehensive</w:t>
            </w:r>
          </w:p>
        </w:tc>
        <w:tc>
          <w:tcPr/>
          <w:p>
            <w:pPr>
              <w:pStyle w:val="Compact"/>
            </w:pPr>
            <w:r>
              <w:t xml:space="preserve">Everyday, empathetic language plus a full legal interview: elements of the offense, penalties, every procedural stage; always a</w:t>
            </w:r>
            <w:r>
              <w:t xml:space="preserve"> </w:t>
            </w:r>
            <w:r>
              <w:t xml:space="preserve">“Legal basis”</w:t>
            </w:r>
            <w:r>
              <w:t xml:space="preserve"> </w:t>
            </w:r>
            <w:r>
              <w:t xml:space="preserve">section; at most two questions; offers to draft complaints and filings once the state is known. The longest prompt.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intermedio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 and cautious</w:t>
            </w:r>
          </w:p>
        </w:tc>
        <w:tc>
          <w:tcPr/>
          <w:p>
            <w:pPr>
              <w:pStyle w:val="Compact"/>
            </w:pPr>
            <w:r>
              <w:t xml:space="preserve">Everyday language, short paragraphs; insists on not overstating certainty, separating facts from hypotheses, and checking that a law applies to the people involved (age, relationship); drafts filings only if asked; sections Orientation / Legal basis / Options. Added on 28 October.</w:t>
            </w:r>
          </w:p>
        </w:tc>
      </w:tr>
    </w:tbl>
    <w:p>
      <w:pPr>
        <w:pStyle w:val="BodyText"/>
      </w:pPr>
      <w:r>
        <w:t xml:space="preserve">The application assigns each new participant the condition with the fewest participants so far (ties broken at</w:t>
      </w:r>
      <w:r>
        <w:t xml:space="preserve"> </w:t>
      </w:r>
      <w:r>
        <w:t xml:space="preserve">random), and stores it before the first situation; participants do not see it. Because the third prompt was added on 28</w:t>
      </w:r>
      <w:r>
        <w:t xml:space="preserve"> </w:t>
      </w:r>
      <w:r>
        <w:t xml:space="preserve">October with 6 participants in each of the first two, the next six participants all received it. Its first participants</w:t>
      </w:r>
      <w:r>
        <w:t xml:space="preserve"> </w:t>
      </w:r>
      <w:r>
        <w:t xml:space="preserve">therefore arrived on later dates than the average participant of the other two conditions (Section 7).</w:t>
      </w:r>
    </w:p>
    <w:bookmarkEnd w:id="20"/>
    <w:bookmarkStart w:id="21" w:name="participants"/>
    <w:p>
      <w:pPr>
        <w:pStyle w:val="Heading3"/>
      </w:pPr>
      <w:r>
        <w:t xml:space="preserve">4.4 Participants</w:t>
      </w:r>
    </w:p>
    <w:p>
      <w:pPr>
        <w:pStyle w:val="FirstParagraph"/>
      </w:pPr>
      <w:r>
        <w:rPr>
          <w:b/>
          <w:bCs/>
        </w:rPr>
        <w:t xml:space="preserve">Round 1</w:t>
      </w:r>
      <w:r>
        <w:t xml:space="preserve"> </w:t>
      </w:r>
      <w:r>
        <w:t xml:space="preserve">(9–21 October 2026): 45 participants, 33 completed; 26 without legal training and 19 with it (studies or</w:t>
      </w:r>
      <w:r>
        <w:t xml:space="preserve"> </w:t>
      </w:r>
      <w:r>
        <w:t xml:space="preserve">studied law, or works in a legal job). Recruited at a public university through in-person kiosks and a public link.</w:t>
      </w:r>
    </w:p>
    <w:p>
      <w:pPr>
        <w:pStyle w:val="BodyText"/>
      </w:pPr>
      <w:r>
        <w:rPr>
          <w:b/>
          <w:bCs/>
        </w:rPr>
        <w:t xml:space="preserve">Round 2</w:t>
      </w:r>
      <w:r>
        <w:t xml:space="preserve"> </w:t>
      </w:r>
      <w:r>
        <w:t xml:space="preserve">(25 October onward; frozen 31 October): 52 consented, 37 completed the whole study, 50 completed at least</w:t>
      </w:r>
      <w:r>
        <w:t xml:space="preserve"> </w:t>
      </w:r>
      <w:r>
        <w:t xml:space="preserve">one situation (114 situations, 232 messages to the assistant). Recruitment was through three public links shared</w:t>
      </w:r>
      <w:r>
        <w:t xml:space="preserve"> </w:t>
      </w:r>
      <w:r>
        <w:t xml:space="preserve">in messaging groups (46 participants) and in-person kiosks (6). 40 had no legal training and 12 had it. Legal training is</w:t>
      </w:r>
      <w:r>
        <w:t xml:space="preserve"> </w:t>
      </w:r>
      <w:r>
        <w:t xml:space="preserve">unevenly distributed across conditions (Table 1), which is why we report lay participants separately.</w:t>
      </w:r>
    </w:p>
    <w:p>
      <w:pPr>
        <w:pStyle w:val="BodyText"/>
      </w:pPr>
      <w:r>
        <w:rPr>
          <w:b/>
          <w:bCs/>
        </w:rPr>
        <w:t xml:space="preserve">Table 1. Round 2 participants by condition.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Formal legal</w:t>
            </w:r>
          </w:p>
        </w:tc>
        <w:tc>
          <w:tcPr/>
          <w:p>
            <w:pPr>
              <w:pStyle w:val="Compact"/>
            </w:pPr>
            <w:r>
              <w:t xml:space="preserve">Warm and comprehensive</w:t>
            </w:r>
          </w:p>
        </w:tc>
        <w:tc>
          <w:tcPr/>
          <w:p>
            <w:pPr>
              <w:pStyle w:val="Compact"/>
            </w:pPr>
            <w:r>
              <w:t xml:space="preserve">Plain and cautious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Consented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 the study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legal training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legal training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Profile (all 52): highest education: completed bachelor’s 27, master’s 10, high school 7, bachelor’s in progress 6,</w:t>
      </w:r>
      <w:r>
        <w:t xml:space="preserve"> </w:t>
      </w:r>
      <w:r>
        <w:t xml:space="preserve">doctorate 2. Age: 18–24: 6; 25–34: 12; 35–44: 19; 45–59: 12; 60+: 3. AI assistant use: daily 19, weekly 6, a few times a</w:t>
      </w:r>
      <w:r>
        <w:t xml:space="preserve"> </w:t>
      </w:r>
      <w:r>
        <w:t xml:space="preserve">month 22, never 5.</w:t>
      </w:r>
    </w:p>
    <w:bookmarkEnd w:id="21"/>
    <w:bookmarkEnd w:id="22"/>
    <w:bookmarkStart w:id="29" w:name="results"/>
    <w:p>
      <w:pPr>
        <w:pStyle w:val="Heading2"/>
      </w:pPr>
      <w:r>
        <w:t xml:space="preserve">5. Results</w:t>
      </w:r>
    </w:p>
    <w:bookmarkStart w:id="23" w:name="X939d5f2462589ecc57e09a278169f50791fffd5"/>
    <w:p>
      <w:pPr>
        <w:pStyle w:val="Heading3"/>
      </w:pPr>
      <w:r>
        <w:t xml:space="preserve">5.1 RQ1: wrong-state citations come from retrieval</w:t>
      </w:r>
    </w:p>
    <w:p>
      <w:pPr>
        <w:pStyle w:val="FirstParagraph"/>
      </w:pPr>
      <w:r>
        <w:t xml:space="preserve">In round 1, 53% of first answers (57 of 107) named the penal code of a state other than the one where the facts</w:t>
      </w:r>
      <w:r>
        <w:t xml:space="preserve"> </w:t>
      </w:r>
      <w:r>
        <w:t xml:space="preserve">occurred: 57% (24 of 42) with the formal legal prompt, 38% (15 of 39) with the plain-language prompt, and 69% (18 of 26)</w:t>
      </w:r>
      <w:r>
        <w:t xml:space="preserve"> </w:t>
      </w:r>
      <w:r>
        <w:t xml:space="preserve">in the pilot. By situation: workplace messages 51%, photos 59%, summons 48%. The code was not invented: across all</w:t>
      </w:r>
      <w:r>
        <w:t xml:space="preserve"> </w:t>
      </w:r>
      <w:r>
        <w:t xml:space="preserve">round-1 answers, 120 of the 121 wrong-state codes named (in 76 answers) had been retrieved into the context. The</w:t>
      </w:r>
      <w:r>
        <w:t xml:space="preserve"> </w:t>
      </w:r>
      <w:r>
        <w:t xml:space="preserve">plain-language prompt of round 1 asked for the state more often, which lowered but did not remove the error; prompting</w:t>
      </w:r>
      <w:r>
        <w:t xml:space="preserve"> </w:t>
      </w:r>
      <w:r>
        <w:t xml:space="preserve">alone does not change what the model sees.</w:t>
      </w:r>
    </w:p>
    <w:bookmarkEnd w:id="23"/>
    <w:bookmarkStart w:id="24" w:name="rq2-users-rarely-notice"/>
    <w:p>
      <w:pPr>
        <w:pStyle w:val="Heading3"/>
      </w:pPr>
      <w:r>
        <w:t xml:space="preserve">5.2 RQ2: users rarely notice</w:t>
      </w:r>
    </w:p>
    <w:p>
      <w:pPr>
        <w:pStyle w:val="FirstParagraph"/>
      </w:pPr>
      <w:r>
        <w:t xml:space="preserve">Participants without legal training noticed a problem in 8% of round-1 situations (64 situations) and said they would act</w:t>
      </w:r>
      <w:r>
        <w:t xml:space="preserve"> </w:t>
      </w:r>
      <w:r>
        <w:t xml:space="preserve">on the answer in 64%. Participants with legal training noticed a problem more often (19% of 37 situations) and were more</w:t>
      </w:r>
      <w:r>
        <w:t xml:space="preserve"> </w:t>
      </w:r>
      <w:r>
        <w:t xml:space="preserve">cautious (would act in 46%). Legal training made people more skeptical in general, but it did not make the specific</w:t>
      </w:r>
      <w:r>
        <w:t xml:space="preserve"> </w:t>
      </w:r>
      <w:r>
        <w:t xml:space="preserve">error visible: legally trained participants also chose the wrong state’s article in the workplace scenario, and their</w:t>
      </w:r>
      <w:r>
        <w:t xml:space="preserve"> </w:t>
      </w:r>
      <w:r>
        <w:t xml:space="preserve">comments expressed general caution (</w:t>
      </w:r>
      <w:r>
        <w:t xml:space="preserve">“verify against the law”</w:t>
      </w:r>
      <w:r>
        <w:t xml:space="preserve">) rather than pointing at the other state’s code.</w:t>
      </w:r>
    </w:p>
    <w:bookmarkEnd w:id="24"/>
    <w:bookmarkStart w:id="25" w:name="X9ef3ea42760f0dd7d1d3adb42fb8ef7c56692b2"/>
    <w:p>
      <w:pPr>
        <w:pStyle w:val="Heading3"/>
      </w:pPr>
      <w:r>
        <w:t xml:space="preserve">5.3 RQ3: the jurisdiction gate, replayed and deployed</w:t>
      </w:r>
    </w:p>
    <w:p>
      <w:pPr>
        <w:pStyle w:val="FirstParagraph"/>
      </w:pPr>
      <w:r>
        <w:t xml:space="preserve">We replayed every real round-1 conversation (108 conversations, twice each) through the round-1 configuration (A) and</w:t>
      </w:r>
      <w:r>
        <w:t xml:space="preserve"> </w:t>
      </w:r>
      <w:r>
        <w:t xml:space="preserve">the gate (B), with the same prompt.</w:t>
      </w:r>
    </w:p>
    <w:p>
      <w:pPr>
        <w:pStyle w:val="BodyText"/>
      </w:pPr>
      <w:r>
        <w:rPr>
          <w:b/>
          <w:bCs/>
        </w:rPr>
        <w:t xml:space="preserve">Table 2. Replay of the 108 real round-1 conversations (two repetitions each).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A: round-1 retrieval</w:t>
            </w:r>
          </w:p>
        </w:tc>
        <w:tc>
          <w:tcPr/>
          <w:p>
            <w:pPr>
              <w:pStyle w:val="Compact"/>
            </w:pPr>
            <w:r>
              <w:t xml:space="preserve">B: gate</w:t>
            </w:r>
          </w:p>
        </w:tc>
        <w:tc>
          <w:tcPr/>
          <w:p>
            <w:pPr>
              <w:pStyle w:val="Compact"/>
            </w:pPr>
            <w:r>
              <w:t xml:space="preserve">B + reranker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 naming another state’s code (first message)</w:t>
            </w:r>
          </w:p>
        </w:tc>
        <w:tc>
          <w:tcPr/>
          <w:p>
            <w:pPr>
              <w:pStyle w:val="Compact"/>
            </w:pPr>
            <w:r>
              <w:t xml:space="preserve">59.7%</w:t>
            </w:r>
          </w:p>
        </w:tc>
        <w:tc>
          <w:tcPr/>
          <w:p>
            <w:pPr>
              <w:pStyle w:val="Compact"/>
            </w:pPr>
            <w:r>
              <w:t xml:space="preserve">1.9%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 citing the correct law</w:t>
            </w:r>
          </w:p>
        </w:tc>
        <w:tc>
          <w:tcPr/>
          <w:p>
            <w:pPr>
              <w:pStyle w:val="Compact"/>
            </w:pPr>
            <w:r>
              <w:t xml:space="preserve">72.7%</w:t>
            </w:r>
          </w:p>
        </w:tc>
        <w:tc>
          <w:tcPr/>
          <w:p>
            <w:pPr>
              <w:pStyle w:val="Compact"/>
            </w:pPr>
            <w:r>
              <w:t xml:space="preserve">72.2%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article, follow-up messages, change vs 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+13.0 points [1.9, 25.0]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 in</w:t>
            </w:r>
            <w:r>
              <w:t xml:space="preserve"> </w:t>
            </w:r>
            <w:r>
              <w:t xml:space="preserve">“photos”</w:t>
            </w:r>
            <w:r>
              <w:t xml:space="preserve"> </w:t>
            </w:r>
            <w:r>
              <w:t xml:space="preserve">citing the women’s-violence law</w:t>
            </w:r>
          </w:p>
        </w:tc>
        <w:tc>
          <w:tcPr/>
          <w:p>
            <w:pPr>
              <w:pStyle w:val="Compact"/>
            </w:pPr>
            <w:r>
              <w:t xml:space="preserve">13% (15/112)</w:t>
            </w:r>
          </w:p>
        </w:tc>
        <w:tc>
          <w:tcPr/>
          <w:p>
            <w:pPr>
              <w:pStyle w:val="Compact"/>
            </w:pPr>
            <w:r>
              <w:t xml:space="preserve">33% (37/112)</w:t>
            </w:r>
          </w:p>
        </w:tc>
        <w:tc>
          <w:tcPr/>
          <w:p>
            <w:pPr>
              <w:pStyle w:val="Compact"/>
            </w:pPr>
            <w:r>
              <w:t xml:space="preserve">34% (38/112)</w:t>
            </w:r>
          </w:p>
        </w:tc>
      </w:tr>
    </w:tbl>
    <w:p>
      <w:pPr>
        <w:pStyle w:val="BodyText"/>
      </w:pPr>
      <w:r>
        <w:t xml:space="preserve">The gate cut wrong-state answers by 57.9 points (95% CI −66.2 to −49.5) without losing correct-law citations. The</w:t>
      </w:r>
      <w:r>
        <w:t xml:space="preserve"> </w:t>
      </w:r>
      <w:r>
        <w:t xml:space="preserve">reranker added correct-article citations in follow-up messages (+10.5 points over B, CI −0.6 to 21.5; +13.0 over A).</w:t>
      </w:r>
    </w:p>
    <w:p>
      <w:pPr>
        <w:pStyle w:val="BodyText"/>
      </w:pPr>
      <w:r>
        <w:rPr>
          <w:b/>
          <w:bCs/>
        </w:rPr>
        <w:t xml:space="preserve">Deployed in round 2,</w:t>
      </w:r>
      <w:r>
        <w:t xml:space="preserve"> </w:t>
      </w:r>
      <w:r>
        <w:t xml:space="preserve">the gate held: only 2 of 117 first answers (1.7%) named another state’s code, both with the</w:t>
      </w:r>
      <w:r>
        <w:t xml:space="preserve"> </w:t>
      </w:r>
      <w:r>
        <w:t xml:space="preserve">formal legal prompt (2 of 38, 5.3%); none of the 79 first answers with the two plain-language prompts did. Counting</w:t>
      </w:r>
      <w:r>
        <w:t xml:space="preserve"> </w:t>
      </w:r>
      <w:r>
        <w:t xml:space="preserve">every answer in a situation, 5% (formal), 0% (warm) and 8% (plain and cautious) of situations had at least one</w:t>
      </w:r>
      <w:r>
        <w:t xml:space="preserve"> </w:t>
      </w:r>
      <w:r>
        <w:t xml:space="preserve">wrong-state answer. The share of first answers citing the correct law did not differ by prompt (66%, 68%, 66%).</w:t>
      </w:r>
    </w:p>
    <w:bookmarkEnd w:id="25"/>
    <w:bookmarkStart w:id="26" w:name="X9f371fc1a7955ac2bc28535d3d38aa763282bb7"/>
    <w:p>
      <w:pPr>
        <w:pStyle w:val="Heading3"/>
      </w:pPr>
      <w:r>
        <w:t xml:space="preserve">5.4 RQ4: plain language raised trust and willingness to act, not comprehension</w:t>
      </w:r>
    </w:p>
    <w:p>
      <w:pPr>
        <w:pStyle w:val="FirstParagraph"/>
      </w:pPr>
      <w:r>
        <w:rPr>
          <w:b/>
          <w:bCs/>
        </w:rPr>
        <w:t xml:space="preserve">Table 3. Round 2, all participants, by prompt.</w:t>
      </w:r>
      <w:r>
        <w:t xml:space="preserve"> </w:t>
      </w:r>
      <w:r>
        <w:t xml:space="preserve">Values are means per situation; n = situations (n of participants with</w:t>
      </w:r>
      <w:r>
        <w:t xml:space="preserve"> </w:t>
      </w:r>
      <w:r>
        <w:t xml:space="preserve">at least one situation: 17, 16, 17). Trust and perceived-correctness scales exist only from 26 October.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Formal legal</w:t>
            </w:r>
          </w:p>
        </w:tc>
        <w:tc>
          <w:tcPr/>
          <w:p>
            <w:pPr>
              <w:pStyle w:val="Compact"/>
            </w:pPr>
            <w:r>
              <w:t xml:space="preserve">Warm and comprehensive</w:t>
            </w:r>
          </w:p>
        </w:tc>
        <w:tc>
          <w:tcPr/>
          <w:p>
            <w:pPr>
              <w:pStyle w:val="Compact"/>
            </w:pPr>
            <w:r>
              <w:t xml:space="preserve">Plain and cautious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Comprehension (aciertos)</w:t>
            </w:r>
          </w:p>
        </w:tc>
        <w:tc>
          <w:tcPr/>
          <w:p>
            <w:pPr>
              <w:pStyle w:val="Compact"/>
            </w:pPr>
            <w:r>
              <w:t xml:space="preserve">61% (37)</w:t>
            </w:r>
          </w:p>
        </w:tc>
        <w:tc>
          <w:tcPr/>
          <w:p>
            <w:pPr>
              <w:pStyle w:val="Compact"/>
            </w:pPr>
            <w:r>
              <w:t xml:space="preserve">74% (40)</w:t>
            </w:r>
          </w:p>
        </w:tc>
        <w:tc>
          <w:tcPr/>
          <w:p>
            <w:pPr>
              <w:pStyle w:val="Compact"/>
            </w:pPr>
            <w:r>
              <w:t xml:space="preserve">68% (37)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in the answer (1–5)</w:t>
            </w:r>
          </w:p>
        </w:tc>
        <w:tc>
          <w:tcPr/>
          <w:p>
            <w:pPr>
              <w:pStyle w:val="Compact"/>
            </w:pPr>
            <w:r>
              <w:t xml:space="preserve">3.28 (25)</w:t>
            </w:r>
          </w:p>
        </w:tc>
        <w:tc>
          <w:tcPr/>
          <w:p>
            <w:pPr>
              <w:pStyle w:val="Compact"/>
            </w:pPr>
            <w:r>
              <w:t xml:space="preserve">3.94 (31)</w:t>
            </w:r>
          </w:p>
        </w:tc>
        <w:tc>
          <w:tcPr/>
          <w:p>
            <w:pPr>
              <w:pStyle w:val="Compact"/>
            </w:pPr>
            <w:r>
              <w:t xml:space="preserve">4.19 (37)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Perceived correctness (1–5)</w:t>
            </w:r>
          </w:p>
        </w:tc>
        <w:tc>
          <w:tcPr/>
          <w:p>
            <w:pPr>
              <w:pStyle w:val="Compact"/>
            </w:pPr>
            <w:r>
              <w:t xml:space="preserve">3.52 (25)</w:t>
            </w:r>
          </w:p>
        </w:tc>
        <w:tc>
          <w:tcPr/>
          <w:p>
            <w:pPr>
              <w:pStyle w:val="Compact"/>
            </w:pPr>
            <w:r>
              <w:t xml:space="preserve">4.13 (31)</w:t>
            </w:r>
          </w:p>
        </w:tc>
        <w:tc>
          <w:tcPr/>
          <w:p>
            <w:pPr>
              <w:pStyle w:val="Compact"/>
            </w:pPr>
            <w:r>
              <w:t xml:space="preserve">4.24 (37)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in own answers (1–5)</w:t>
            </w:r>
          </w:p>
        </w:tc>
        <w:tc>
          <w:tcPr/>
          <w:p>
            <w:pPr>
              <w:pStyle w:val="Compact"/>
            </w:pPr>
            <w:r>
              <w:t xml:space="preserve">3.89 (37)</w:t>
            </w:r>
          </w:p>
        </w:tc>
        <w:tc>
          <w:tcPr/>
          <w:p>
            <w:pPr>
              <w:pStyle w:val="Compact"/>
            </w:pPr>
            <w:r>
              <w:t xml:space="preserve">4.23 (40)</w:t>
            </w:r>
          </w:p>
        </w:tc>
        <w:tc>
          <w:tcPr/>
          <w:p>
            <w:pPr>
              <w:pStyle w:val="Compact"/>
            </w:pPr>
            <w:r>
              <w:t xml:space="preserve">4.14 (37)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Would act on the answer</w:t>
            </w:r>
          </w:p>
        </w:tc>
        <w:tc>
          <w:tcPr/>
          <w:p>
            <w:pPr>
              <w:pStyle w:val="Compact"/>
            </w:pPr>
            <w:r>
              <w:t xml:space="preserve">35% (37)</w:t>
            </w:r>
          </w:p>
        </w:tc>
        <w:tc>
          <w:tcPr/>
          <w:p>
            <w:pPr>
              <w:pStyle w:val="Compact"/>
            </w:pPr>
            <w:r>
              <w:t xml:space="preserve">83% (40)</w:t>
            </w:r>
          </w:p>
        </w:tc>
        <w:tc>
          <w:tcPr/>
          <w:p>
            <w:pPr>
              <w:pStyle w:val="Compact"/>
            </w:pPr>
            <w:r>
              <w:t xml:space="preserve">78% (37)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Noticed a problem</w:t>
            </w:r>
          </w:p>
        </w:tc>
        <w:tc>
          <w:tcPr/>
          <w:p>
            <w:pPr>
              <w:pStyle w:val="Compact"/>
            </w:pPr>
            <w:r>
              <w:t xml:space="preserve">11% (37)</w:t>
            </w:r>
          </w:p>
        </w:tc>
        <w:tc>
          <w:tcPr/>
          <w:p>
            <w:pPr>
              <w:pStyle w:val="Compact"/>
            </w:pPr>
            <w:r>
              <w:t xml:space="preserve">10% (40)</w:t>
            </w:r>
          </w:p>
        </w:tc>
        <w:tc>
          <w:tcPr/>
          <w:p>
            <w:pPr>
              <w:pStyle w:val="Compact"/>
            </w:pPr>
            <w:r>
              <w:t xml:space="preserve">16% (37)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 (0–100), completers</w:t>
            </w:r>
          </w:p>
        </w:tc>
        <w:tc>
          <w:tcPr/>
          <w:p>
            <w:pPr>
              <w:pStyle w:val="Compact"/>
            </w:pPr>
            <w:r>
              <w:t xml:space="preserve">65.4 (12)</w:t>
            </w:r>
          </w:p>
        </w:tc>
        <w:tc>
          <w:tcPr/>
          <w:p>
            <w:pPr>
              <w:pStyle w:val="Compact"/>
            </w:pPr>
            <w:r>
              <w:t xml:space="preserve">77.9 (13)</w:t>
            </w:r>
          </w:p>
        </w:tc>
        <w:tc>
          <w:tcPr/>
          <w:p>
            <w:pPr>
              <w:pStyle w:val="Compact"/>
            </w:pPr>
            <w:r>
              <w:t xml:space="preserve">79.0 (12)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 that ask for the state</w:t>
            </w:r>
          </w:p>
        </w:tc>
        <w:tc>
          <w:tcPr/>
          <w:p>
            <w:pPr>
              <w:pStyle w:val="Compact"/>
            </w:pPr>
            <w:r>
              <w:t xml:space="preserve">56%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Words per answer</w:t>
            </w:r>
          </w:p>
        </w:tc>
        <w:tc>
          <w:tcPr/>
          <w:p>
            <w:pPr>
              <w:pStyle w:val="Compact"/>
            </w:pPr>
            <w:r>
              <w:t xml:space="preserve">447</w:t>
            </w:r>
          </w:p>
        </w:tc>
        <w:tc>
          <w:tcPr/>
          <w:p>
            <w:pPr>
              <w:pStyle w:val="Compact"/>
            </w:pPr>
            <w:r>
              <w:t xml:space="preserve">486</w:t>
            </w:r>
          </w:p>
        </w:tc>
        <w:tc>
          <w:tcPr/>
          <w:p>
            <w:pPr>
              <w:pStyle w:val="Compact"/>
            </w:pPr>
            <w:r>
              <w:t xml:space="preserve">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answer cites the correct law</w:t>
            </w:r>
          </w:p>
        </w:tc>
        <w:tc>
          <w:tcPr/>
          <w:p>
            <w:pPr>
              <w:pStyle w:val="Compact"/>
            </w:pPr>
            <w:r>
              <w:t xml:space="preserve">66% (38)</w:t>
            </w:r>
          </w:p>
        </w:tc>
        <w:tc>
          <w:tcPr/>
          <w:p>
            <w:pPr>
              <w:pStyle w:val="Compact"/>
            </w:pPr>
            <w:r>
              <w:t xml:space="preserve">68% (41)</w:t>
            </w:r>
          </w:p>
        </w:tc>
        <w:tc>
          <w:tcPr/>
          <w:p>
            <w:pPr>
              <w:pStyle w:val="Compact"/>
            </w:pPr>
            <w:r>
              <w:t xml:space="preserve">66% (38)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answer cites the correct article</w:t>
            </w:r>
          </w:p>
        </w:tc>
        <w:tc>
          <w:tcPr/>
          <w:p>
            <w:pPr>
              <w:pStyle w:val="Compact"/>
            </w:pPr>
            <w:r>
              <w:t xml:space="preserve">50% (38)</w:t>
            </w:r>
          </w:p>
        </w:tc>
        <w:tc>
          <w:tcPr/>
          <w:p>
            <w:pPr>
              <w:pStyle w:val="Compact"/>
            </w:pPr>
            <w:r>
              <w:t xml:space="preserve">56% (41)</w:t>
            </w:r>
          </w:p>
        </w:tc>
        <w:tc>
          <w:tcPr/>
          <w:p>
            <w:pPr>
              <w:pStyle w:val="Compact"/>
            </w:pPr>
            <w:r>
              <w:t xml:space="preserve">55% (38)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answer names another state’s code</w:t>
            </w:r>
          </w:p>
        </w:tc>
        <w:tc>
          <w:tcPr/>
          <w:p>
            <w:pPr>
              <w:pStyle w:val="Compact"/>
            </w:pPr>
            <w:r>
              <w:t xml:space="preserve">5% (38)</w:t>
            </w:r>
          </w:p>
        </w:tc>
        <w:tc>
          <w:tcPr/>
          <w:p>
            <w:pPr>
              <w:pStyle w:val="Compact"/>
            </w:pPr>
            <w:r>
              <w:t xml:space="preserve">0% (41)</w:t>
            </w:r>
          </w:p>
        </w:tc>
        <w:tc>
          <w:tcPr/>
          <w:p>
            <w:pPr>
              <w:pStyle w:val="Compact"/>
            </w:pPr>
            <w:r>
              <w:t xml:space="preserve">0% (38)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Recall@10, first message</w:t>
            </w:r>
          </w:p>
        </w:tc>
        <w:tc>
          <w:tcPr/>
          <w:p>
            <w:pPr>
              <w:pStyle w:val="Compact"/>
            </w:pPr>
            <w:r>
              <w:t xml:space="preserve">24% (38)</w:t>
            </w:r>
          </w:p>
        </w:tc>
        <w:tc>
          <w:tcPr/>
          <w:p>
            <w:pPr>
              <w:pStyle w:val="Compact"/>
            </w:pPr>
            <w:r>
              <w:t xml:space="preserve">39% (42)</w:t>
            </w:r>
          </w:p>
        </w:tc>
        <w:tc>
          <w:tcPr/>
          <w:p>
            <w:pPr>
              <w:pStyle w:val="Compact"/>
            </w:pPr>
            <w:r>
              <w:t xml:space="preserve">29% (38)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minutes per situation</w:t>
            </w:r>
          </w:p>
        </w:tc>
        <w:tc>
          <w:tcPr/>
          <w:p>
            <w:pPr>
              <w:pStyle w:val="Compact"/>
            </w:pPr>
            <w:r>
              <w:t xml:space="preserve">6.9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</w:tr>
    </w:tbl>
    <w:p>
      <w:pPr>
        <w:pStyle w:val="BodyText"/>
      </w:pPr>
      <w:r>
        <w:t xml:space="preserve">Retrieval is identical across prompts, so differences in recall@10 come from how participants in each group wrote</w:t>
      </w:r>
      <w:r>
        <w:t xml:space="preserve"> </w:t>
      </w:r>
      <w:r>
        <w:t xml:space="preserve">their first message. The warm-and-comprehensive group had more legally trained participants (6 of 18), and their</w:t>
      </w:r>
      <w:r>
        <w:t xml:space="preserve"> </w:t>
      </w:r>
      <w:r>
        <w:t xml:space="preserve">first messages retrieved better (recall@10 of 63% for those six, against 25% for the group’s lay participants). That imbalance also explains most of that group’s higher</w:t>
      </w:r>
      <w:r>
        <w:t xml:space="preserve"> </w:t>
      </w:r>
      <w:r>
        <w:t xml:space="preserve">comprehension. Among participants without legal training, the pattern is clearer:</w:t>
      </w:r>
    </w:p>
    <w:p>
      <w:pPr>
        <w:pStyle w:val="BodyText"/>
      </w:pPr>
      <w:r>
        <w:rPr>
          <w:b/>
          <w:bCs/>
        </w:rPr>
        <w:t xml:space="preserve">Table 4. Round 2, participants without legal training 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Formal legal (16)</w:t>
            </w:r>
          </w:p>
        </w:tc>
        <w:tc>
          <w:tcPr/>
          <w:p>
            <w:pPr>
              <w:pStyle w:val="Compact"/>
            </w:pPr>
            <w:r>
              <w:t xml:space="preserve">Warm and comprehensive (10)</w:t>
            </w:r>
          </w:p>
        </w:tc>
        <w:tc>
          <w:tcPr/>
          <w:p>
            <w:pPr>
              <w:pStyle w:val="Compact"/>
            </w:pPr>
            <w:r>
              <w:t xml:space="preserve">Plain and cautious (12)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Comprehension (aciertos)</w:t>
            </w:r>
          </w:p>
        </w:tc>
        <w:tc>
          <w:tcPr/>
          <w:p>
            <w:pPr>
              <w:pStyle w:val="Compact"/>
            </w:pPr>
            <w:r>
              <w:t xml:space="preserve">63% (34)</w:t>
            </w:r>
          </w:p>
        </w:tc>
        <w:tc>
          <w:tcPr/>
          <w:p>
            <w:pPr>
              <w:pStyle w:val="Compact"/>
            </w:pPr>
            <w:r>
              <w:t xml:space="preserve">63% (24)</w:t>
            </w:r>
          </w:p>
        </w:tc>
        <w:tc>
          <w:tcPr/>
          <w:p>
            <w:pPr>
              <w:pStyle w:val="Compact"/>
            </w:pPr>
            <w:r>
              <w:t xml:space="preserve">70% (28)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in the answer (1–5)</w:t>
            </w:r>
          </w:p>
        </w:tc>
        <w:tc>
          <w:tcPr/>
          <w:p>
            <w:pPr>
              <w:pStyle w:val="Compact"/>
            </w:pPr>
            <w:r>
              <w:t xml:space="preserve">3.28 (25)</w:t>
            </w:r>
          </w:p>
        </w:tc>
        <w:tc>
          <w:tcPr/>
          <w:p>
            <w:pPr>
              <w:pStyle w:val="Compact"/>
            </w:pPr>
            <w:r>
              <w:t xml:space="preserve">4.00 (18)</w:t>
            </w:r>
          </w:p>
        </w:tc>
        <w:tc>
          <w:tcPr/>
          <w:p>
            <w:pPr>
              <w:pStyle w:val="Compact"/>
            </w:pPr>
            <w:r>
              <w:t xml:space="preserve">4.25 (28)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Perceived correctness (1–5)</w:t>
            </w:r>
          </w:p>
        </w:tc>
        <w:tc>
          <w:tcPr/>
          <w:p>
            <w:pPr>
              <w:pStyle w:val="Compact"/>
            </w:pPr>
            <w:r>
              <w:t xml:space="preserve">3.52 (25)</w:t>
            </w:r>
          </w:p>
        </w:tc>
        <w:tc>
          <w:tcPr/>
          <w:p>
            <w:pPr>
              <w:pStyle w:val="Compact"/>
            </w:pPr>
            <w:r>
              <w:t xml:space="preserve">4.28 (18)</w:t>
            </w:r>
          </w:p>
        </w:tc>
        <w:tc>
          <w:tcPr/>
          <w:p>
            <w:pPr>
              <w:pStyle w:val="Compact"/>
            </w:pPr>
            <w:r>
              <w:t xml:space="preserve">4.21 (28)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Would act on the answer</w:t>
            </w:r>
          </w:p>
        </w:tc>
        <w:tc>
          <w:tcPr/>
          <w:p>
            <w:pPr>
              <w:pStyle w:val="Compact"/>
            </w:pPr>
            <w:r>
              <w:t xml:space="preserve">35% (34)</w:t>
            </w:r>
          </w:p>
        </w:tc>
        <w:tc>
          <w:tcPr/>
          <w:p>
            <w:pPr>
              <w:pStyle w:val="Compact"/>
            </w:pPr>
            <w:r>
              <w:t xml:space="preserve">88% (24)</w:t>
            </w:r>
          </w:p>
        </w:tc>
        <w:tc>
          <w:tcPr/>
          <w:p>
            <w:pPr>
              <w:pStyle w:val="Compact"/>
            </w:pPr>
            <w:r>
              <w:t xml:space="preserve">86% (28)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Noticed a problem</w:t>
            </w:r>
          </w:p>
        </w:tc>
        <w:tc>
          <w:tcPr/>
          <w:p>
            <w:pPr>
              <w:pStyle w:val="Compact"/>
            </w:pPr>
            <w:r>
              <w:t xml:space="preserve">12% (34)</w:t>
            </w:r>
          </w:p>
        </w:tc>
        <w:tc>
          <w:tcPr/>
          <w:p>
            <w:pPr>
              <w:pStyle w:val="Compact"/>
            </w:pPr>
            <w:r>
              <w:t xml:space="preserve">4% (24)</w:t>
            </w:r>
          </w:p>
        </w:tc>
        <w:tc>
          <w:tcPr/>
          <w:p>
            <w:pPr>
              <w:pStyle w:val="Compact"/>
            </w:pPr>
            <w:r>
              <w:t xml:space="preserve">11% (28)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5. Differences between prompts (percentage points or scale points), 95% CI from a participant bootstrap.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Warm − Formal</w:t>
            </w:r>
          </w:p>
        </w:tc>
        <w:tc>
          <w:tcPr/>
          <w:p>
            <w:pPr>
              <w:pStyle w:val="Compact"/>
            </w:pPr>
            <w:r>
              <w:t xml:space="preserve">Plain − Formal</w:t>
            </w:r>
          </w:p>
        </w:tc>
        <w:tc>
          <w:tcPr/>
          <w:p>
            <w:pPr>
              <w:pStyle w:val="Compact"/>
            </w:pPr>
            <w:r>
              <w:t xml:space="preserve">Plain − Warm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All participants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Would act</w:t>
            </w:r>
          </w:p>
        </w:tc>
        <w:tc>
          <w:tcPr/>
          <w:p>
            <w:pPr>
              <w:pStyle w:val="Compact"/>
            </w:pPr>
            <w:r>
              <w:t xml:space="preserve">+47.4 [23.0, 70.9]</w:t>
            </w:r>
          </w:p>
        </w:tc>
        <w:tc>
          <w:tcPr/>
          <w:p>
            <w:pPr>
              <w:pStyle w:val="Compact"/>
            </w:pPr>
            <w:r>
              <w:t xml:space="preserve">+43.2 [16.4, 68.6]</w:t>
            </w:r>
          </w:p>
        </w:tc>
        <w:tc>
          <w:tcPr/>
          <w:p>
            <w:pPr>
              <w:pStyle w:val="Compact"/>
            </w:pPr>
            <w:r>
              <w:t xml:space="preserve">−4.1 [−26.2, 16.9]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in the answer (1–5)</w:t>
            </w:r>
          </w:p>
        </w:tc>
        <w:tc>
          <w:tcPr/>
          <w:p>
            <w:pPr>
              <w:pStyle w:val="Compact"/>
            </w:pPr>
            <w:r>
              <w:t xml:space="preserve">+0.66 [−0.05, 1.52]</w:t>
            </w:r>
          </w:p>
        </w:tc>
        <w:tc>
          <w:tcPr/>
          <w:p>
            <w:pPr>
              <w:pStyle w:val="Compact"/>
            </w:pPr>
            <w:r>
              <w:t xml:space="preserve">+0.91 [0.22, 1.73]</w:t>
            </w:r>
          </w:p>
        </w:tc>
        <w:tc>
          <w:tcPr/>
          <w:p>
            <w:pPr>
              <w:pStyle w:val="Compact"/>
            </w:pPr>
            <w:r>
              <w:t xml:space="preserve">+0.25 [−0.22, 0.71]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Perceived correctness (1–5)</w:t>
            </w:r>
          </w:p>
        </w:tc>
        <w:tc>
          <w:tcPr/>
          <w:p>
            <w:pPr>
              <w:pStyle w:val="Compact"/>
            </w:pPr>
            <w:r>
              <w:t xml:space="preserve">+0.61 [−0.12, 1.47]</w:t>
            </w:r>
          </w:p>
        </w:tc>
        <w:tc>
          <w:tcPr/>
          <w:p>
            <w:pPr>
              <w:pStyle w:val="Compact"/>
            </w:pPr>
            <w:r>
              <w:t xml:space="preserve">+0.72 [−0.03, 1.61]</w:t>
            </w:r>
          </w:p>
        </w:tc>
        <w:tc>
          <w:tcPr/>
          <w:p>
            <w:pPr>
              <w:pStyle w:val="Compact"/>
            </w:pPr>
            <w:r>
              <w:t xml:space="preserve">+0.11 [−0.34, 0.54]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Comprehension</w:t>
            </w:r>
          </w:p>
        </w:tc>
        <w:tc>
          <w:tcPr/>
          <w:p>
            <w:pPr>
              <w:pStyle w:val="Compact"/>
            </w:pPr>
            <w:r>
              <w:t xml:space="preserve">+12.9 [−8.7, 34.2]</w:t>
            </w:r>
          </w:p>
        </w:tc>
        <w:tc>
          <w:tcPr/>
          <w:p>
            <w:pPr>
              <w:pStyle w:val="Compact"/>
            </w:pPr>
            <w:r>
              <w:t xml:space="preserve">+6.8 [−12.9, 27.1]</w:t>
            </w:r>
          </w:p>
        </w:tc>
        <w:tc>
          <w:tcPr/>
          <w:p>
            <w:pPr>
              <w:pStyle w:val="Compact"/>
            </w:pPr>
            <w:r>
              <w:t xml:space="preserve">−6.2 [−23.2, 10.4]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Noticed a problem</w:t>
            </w:r>
          </w:p>
        </w:tc>
        <w:tc>
          <w:tcPr/>
          <w:p>
            <w:pPr>
              <w:pStyle w:val="Compact"/>
            </w:pPr>
            <w:r>
              <w:t xml:space="preserve">−0.8 [−16.4, 15.2]</w:t>
            </w:r>
          </w:p>
        </w:tc>
        <w:tc>
          <w:tcPr/>
          <w:p>
            <w:pPr>
              <w:pStyle w:val="Compact"/>
            </w:pPr>
            <w:r>
              <w:t xml:space="preserve">+5.4 [−12.2, 23.5]</w:t>
            </w:r>
          </w:p>
        </w:tc>
        <w:tc>
          <w:tcPr/>
          <w:p>
            <w:pPr>
              <w:pStyle w:val="Compact"/>
            </w:pPr>
            <w:r>
              <w:t xml:space="preserve">+6.2 [−11.0, 23.6]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 that ask for the state</w:t>
            </w:r>
          </w:p>
        </w:tc>
        <w:tc>
          <w:tcPr/>
          <w:p>
            <w:pPr>
              <w:pStyle w:val="Compact"/>
            </w:pPr>
            <w:r>
              <w:t xml:space="preserve">−19.4 [−38.7, 1.3]</w:t>
            </w:r>
          </w:p>
        </w:tc>
        <w:tc>
          <w:tcPr/>
          <w:p>
            <w:pPr>
              <w:pStyle w:val="Compact"/>
            </w:pPr>
            <w:r>
              <w:t xml:space="preserve">−25.5 [−43.3, −6.7]</w:t>
            </w:r>
          </w:p>
        </w:tc>
        <w:tc>
          <w:tcPr/>
          <w:p>
            <w:pPr>
              <w:pStyle w:val="Compact"/>
            </w:pPr>
            <w:r>
              <w:t xml:space="preserve">−6.1 [−21.7, 7.5]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Without legal training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Would act</w:t>
            </w:r>
          </w:p>
        </w:tc>
        <w:tc>
          <w:tcPr/>
          <w:p>
            <w:pPr>
              <w:pStyle w:val="Compact"/>
            </w:pPr>
            <w:r>
              <w:t xml:space="preserve">+52.2 [25.8, 77.3]</w:t>
            </w:r>
          </w:p>
        </w:tc>
        <w:tc>
          <w:tcPr/>
          <w:p>
            <w:pPr>
              <w:pStyle w:val="Compact"/>
            </w:pPr>
            <w:r>
              <w:t xml:space="preserve">+50.4 [23.8, 75.8]</w:t>
            </w:r>
          </w:p>
        </w:tc>
        <w:tc>
          <w:tcPr/>
          <w:p>
            <w:pPr>
              <w:pStyle w:val="Compact"/>
            </w:pPr>
            <w:r>
              <w:t xml:space="preserve">−1.8 [−23.1, 21.4]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in the answer (1–5)</w:t>
            </w:r>
          </w:p>
        </w:tc>
        <w:tc>
          <w:tcPr/>
          <w:p>
            <w:pPr>
              <w:pStyle w:val="Compact"/>
            </w:pPr>
            <w:r>
              <w:t xml:space="preserve">+0.72 [−0.08, 1.67]</w:t>
            </w:r>
          </w:p>
        </w:tc>
        <w:tc>
          <w:tcPr/>
          <w:p>
            <w:pPr>
              <w:pStyle w:val="Compact"/>
            </w:pPr>
            <w:r>
              <w:t xml:space="preserve">+0.97 [0.22, 1.85]</w:t>
            </w:r>
          </w:p>
        </w:tc>
        <w:tc>
          <w:tcPr/>
          <w:p>
            <w:pPr>
              <w:pStyle w:val="Compact"/>
            </w:pPr>
            <w:r>
              <w:t xml:space="preserve">+0.25 [−0.40, 0.94]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Comprehension</w:t>
            </w:r>
          </w:p>
        </w:tc>
        <w:tc>
          <w:tcPr/>
          <w:p>
            <w:pPr>
              <w:pStyle w:val="Compact"/>
            </w:pPr>
            <w:r>
              <w:t xml:space="preserve">−0.7 [−25.3, 25.2]</w:t>
            </w:r>
          </w:p>
        </w:tc>
        <w:tc>
          <w:tcPr/>
          <w:p>
            <w:pPr>
              <w:pStyle w:val="Compact"/>
            </w:pPr>
            <w:r>
              <w:t xml:space="preserve">+6.4 [−14.6, 26.9]</w:t>
            </w:r>
          </w:p>
        </w:tc>
        <w:tc>
          <w:tcPr/>
          <w:p>
            <w:pPr>
              <w:pStyle w:val="Compact"/>
            </w:pPr>
            <w:r>
              <w:t xml:space="preserve">+7.1 [−14.3, 28.3]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Noticed a problem</w:t>
            </w:r>
          </w:p>
        </w:tc>
        <w:tc>
          <w:tcPr/>
          <w:p>
            <w:pPr>
              <w:pStyle w:val="Compact"/>
            </w:pPr>
            <w:r>
              <w:t xml:space="preserve">−7.6 [−22.6, 6.3]</w:t>
            </w:r>
          </w:p>
        </w:tc>
        <w:tc>
          <w:tcPr/>
          <w:p>
            <w:pPr>
              <w:pStyle w:val="Compact"/>
            </w:pPr>
            <w:r>
              <w:t xml:space="preserve">−1.1 [−19.4, 17.8]</w:t>
            </w:r>
          </w:p>
        </w:tc>
        <w:tc>
          <w:tcPr/>
          <w:p>
            <w:pPr>
              <w:pStyle w:val="Compact"/>
            </w:pPr>
            <w:r>
              <w:t xml:space="preserve">+6.5 [−8.2, 23.9]</w:t>
            </w:r>
          </w:p>
        </w:tc>
      </w:tr>
    </w:tbl>
    <w:p>
      <w:pPr>
        <w:pStyle w:val="BodyText"/>
      </w:pPr>
      <w:r>
        <w:t xml:space="preserve">Three results stand out. First, the formal legal prompt is an outlier on willingness to act: about a third of</w:t>
      </w:r>
      <w:r>
        <w:t xml:space="preserve"> </w:t>
      </w:r>
      <w:r>
        <w:t xml:space="preserve">participants would act on its answers, against more than four in five with either plain-language prompt, and the</w:t>
      </w:r>
      <w:r>
        <w:t xml:space="preserve"> </w:t>
      </w:r>
      <w:r>
        <w:t xml:space="preserve">interval excludes zero in every comparison with it. Second, the plain-and-cautious prompt, which explicitly tells the</w:t>
      </w:r>
      <w:r>
        <w:t xml:space="preserve"> </w:t>
      </w:r>
      <w:r>
        <w:t xml:space="preserve">model not to overstate certainty, produced the highest trust (4.19 of 5); the difference with the formal prompt excludes</w:t>
      </w:r>
      <w:r>
        <w:t xml:space="preserve"> </w:t>
      </w:r>
      <w:r>
        <w:t xml:space="preserve">zero. Third, comprehension among lay participants did not move with either: 63%, 63% and 70%, with intervals that</w:t>
      </w:r>
      <w:r>
        <w:t xml:space="preserve"> </w:t>
      </w:r>
      <w:r>
        <w:t xml:space="preserve">include zero and are wide (about ±25 points). Detection of problems stayed low with all three prompts.</w:t>
      </w:r>
    </w:p>
    <w:p>
      <w:pPr>
        <w:pStyle w:val="BodyText"/>
      </w:pPr>
      <w:r>
        <w:t xml:space="preserve">Trust also tracked comprehension only weakly. With the plain-and-cautious prompt, comprehension was 68% in situations</w:t>
      </w:r>
      <w:r>
        <w:t xml:space="preserve"> </w:t>
      </w:r>
      <w:r>
        <w:t xml:space="preserve">where participants rated trust 4 or 5 (30 situations) and 64% where they rated it 1–3 (7 situations); with the formal</w:t>
      </w:r>
      <w:r>
        <w:t xml:space="preserve"> </w:t>
      </w:r>
      <w:r>
        <w:t xml:space="preserve">prompt, 64% (14) and 50% (11).</w:t>
      </w:r>
    </w:p>
    <w:p>
      <w:pPr>
        <w:pStyle w:val="BodyText"/>
      </w:pPr>
      <w:r>
        <w:t xml:space="preserve">By situation (Appendix A, Table A2), the difference in willingness to act is largest in the summons (23% formal vs 86%</w:t>
      </w:r>
      <w:r>
        <w:t xml:space="preserve"> </w:t>
      </w:r>
      <w:r>
        <w:t xml:space="preserve">warm and 75% plain) and the photos (33% vs 85% and 77%), the two situations where acting on a wrong answer has the</w:t>
      </w:r>
      <w:r>
        <w:t xml:space="preserve"> </w:t>
      </w:r>
      <w:r>
        <w:t xml:space="preserve">clearest consequence (ignoring a summons; paying or not reporting extortion).</w:t>
      </w:r>
    </w:p>
    <w:bookmarkEnd w:id="26"/>
    <w:bookmarkStart w:id="27" w:name="fixing-where-exposed-who"/>
    <w:p>
      <w:pPr>
        <w:pStyle w:val="Heading3"/>
      </w:pPr>
      <w:r>
        <w:t xml:space="preserve">5.5 Fixing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exposed</w:t>
      </w:r>
      <w:r>
        <w:t xml:space="preserve"> </w:t>
      </w:r>
      <w:r>
        <w:rPr>
          <w:i/>
          <w:iCs/>
        </w:rPr>
        <w:t xml:space="preserve">who</w:t>
      </w:r>
    </w:p>
    <w:p>
      <w:pPr>
        <w:pStyle w:val="FirstParagraph"/>
      </w:pPr>
      <w:r>
        <w:t xml:space="preserve">Once the gate kept the right state’s law in the context, a different applicability error became visible.</w:t>
      </w:r>
      <w:r>
        <w:t xml:space="preserve"> </w:t>
      </w:r>
      <w:r>
        <w:t xml:space="preserve">“The photos”</w:t>
      </w:r>
      <w:r>
        <w:t xml:space="preserve"> </w:t>
      </w:r>
      <w:r>
        <w:t xml:space="preserve">is gender-neutral, yet in the replay with the gate, 33% of answers (37 of 112) cited the General Law on Women’s Access to</w:t>
      </w:r>
      <w:r>
        <w:t xml:space="preserve"> </w:t>
      </w:r>
      <w:r>
        <w:t xml:space="preserve">a Life Free of Violence, against 13% without it (Table 2): with other states’ codes removed, this general law, which</w:t>
      </w:r>
      <w:r>
        <w:t xml:space="preserve"> </w:t>
      </w:r>
      <w:r>
        <w:t xml:space="preserve">applies nationwide but protects only women, rose in the ranking. The citation is correct about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and wrong about</w:t>
      </w:r>
      <w:r>
        <w:t xml:space="preserve"> </w:t>
      </w:r>
      <w:r>
        <w:rPr>
          <w:i/>
          <w:iCs/>
        </w:rPr>
        <w:t xml:space="preserve">who</w:t>
      </w:r>
      <w:r>
        <w:t xml:space="preserve">. On 25 October, before round 2 opened, the team switched that law and eight other sources off for search; no</w:t>
      </w:r>
      <w:r>
        <w:t xml:space="preserve"> </w:t>
      </w:r>
      <w:r>
        <w:t xml:space="preserve">round-2</w:t>
      </w:r>
      <w:r>
        <w:t xml:space="preserve"> </w:t>
      </w:r>
      <w:r>
        <w:t xml:space="preserve">“photos”</w:t>
      </w:r>
      <w:r>
        <w:t xml:space="preserve"> </w:t>
      </w:r>
      <w:r>
        <w:t xml:space="preserve">answer cited it. This is a stopgap that removes the law for the people it does protect. The principled</w:t>
      </w:r>
      <w:r>
        <w:t xml:space="preserve"> </w:t>
      </w:r>
      <w:r>
        <w:t xml:space="preserve">fix is a second applicability condition, the person’s characteristics (sex, age, relationship to the other party), that</w:t>
      </w:r>
      <w:r>
        <w:t xml:space="preserve"> </w:t>
      </w:r>
      <w:r>
        <w:t xml:space="preserve">the system must ask about or infer before citing a law that depends on them. We have built the first step, an editor</w:t>
      </w:r>
      <w:r>
        <w:t xml:space="preserve"> </w:t>
      </w:r>
      <w:r>
        <w:t xml:space="preserve">page where legal experts tag whole documents with the person categories they apply to; the filter itself is future</w:t>
      </w:r>
      <w:r>
        <w:t xml:space="preserve"> </w:t>
      </w:r>
      <w:r>
        <w:t xml:space="preserve">work.</w:t>
      </w:r>
    </w:p>
    <w:bookmarkEnd w:id="27"/>
    <w:bookmarkStart w:id="28" w:name="retrieval-is-still-the-ceiling"/>
    <w:p>
      <w:pPr>
        <w:pStyle w:val="Heading3"/>
      </w:pPr>
      <w:r>
        <w:t xml:space="preserve">5.6 Retrieval is still the ceiling</w:t>
      </w:r>
    </w:p>
    <w:p>
      <w:pPr>
        <w:pStyle w:val="FirstParagraph"/>
      </w:pPr>
      <w:r>
        <w:rPr>
          <w:b/>
          <w:bCs/>
        </w:rPr>
        <w:t xml:space="preserve">Table 6. Recall@10 of the expected articles, round-1 first messages replayed through each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All situations</w:t>
            </w:r>
          </w:p>
        </w:tc>
        <w:tc>
          <w:tcPr/>
          <w:p>
            <w:pPr>
              <w:pStyle w:val="Compact"/>
            </w:pPr>
            <w:r>
              <w:t xml:space="preserve">Photos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HyDE only (round 1)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2 without reranker</w:t>
            </w:r>
          </w:p>
        </w:tc>
        <w:tc>
          <w:tcPr/>
          <w:p>
            <w:pPr>
              <w:pStyle w:val="Compact"/>
            </w:pPr>
            <w:r>
              <w:t xml:space="preserve">25.3%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2 with reranker</w:t>
            </w:r>
          </w:p>
        </w:tc>
        <w:tc>
          <w:tcPr/>
          <w:p>
            <w:pPr>
              <w:pStyle w:val="Compact"/>
            </w:pPr>
            <w:r>
              <w:t xml:space="preserve">35.0%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2 with reranker, 9 sources off</w:t>
            </w:r>
          </w:p>
        </w:tc>
        <w:tc>
          <w:tcPr/>
          <w:p>
            <w:pPr>
              <w:pStyle w:val="Compact"/>
            </w:pPr>
            <w:r>
              <w:t xml:space="preserve">37.3%</w:t>
            </w:r>
          </w:p>
        </w:tc>
        <w:tc>
          <w:tcPr/>
          <w:p>
            <w:pPr>
              <w:pStyle w:val="Compact"/>
            </w:pPr>
            <w:r>
              <w:t xml:space="preserve">27.2%</w:t>
            </w:r>
          </w:p>
        </w:tc>
      </w:tr>
    </w:tbl>
    <w:p>
      <w:pPr>
        <w:pStyle w:val="BodyText"/>
      </w:pPr>
      <w:r>
        <w:t xml:space="preserve">Even with the reranker, the retriever brings the expected article into the top 10 for about a third of first messages.</w:t>
      </w:r>
      <w:r>
        <w:t xml:space="preserve"> </w:t>
      </w:r>
      <w:r>
        <w:t xml:space="preserve">The model cites the correct law far more often (66%) than the retriever finds the exact article, because neighboring</w:t>
      </w:r>
      <w:r>
        <w:t xml:space="preserve"> </w:t>
      </w:r>
      <w:r>
        <w:t xml:space="preserve">articles of the right law often suffice; but the correct</w:t>
      </w:r>
      <w:r>
        <w:t xml:space="preserve"> </w:t>
      </w:r>
      <w:r>
        <w:rPr>
          <w:i/>
          <w:iCs/>
        </w:rPr>
        <w:t xml:space="preserve">article</w:t>
      </w:r>
      <w:r>
        <w:t xml:space="preserve"> </w:t>
      </w:r>
      <w:r>
        <w:t xml:space="preserve">is cited in only 50–56% of first answers.</w:t>
      </w:r>
    </w:p>
    <w:bookmarkEnd w:id="28"/>
    <w:bookmarkEnd w:id="29"/>
    <w:bookmarkStart w:id="34" w:name="discussion"/>
    <w:p>
      <w:pPr>
        <w:pStyle w:val="Heading2"/>
      </w:pPr>
      <w:r>
        <w:t xml:space="preserve">6. Discussion</w:t>
      </w:r>
    </w:p>
    <w:bookmarkStart w:id="30" w:name="Xf47c6fb9fc3fcf4e69d37b83b11581b0acb1466"/>
    <w:p>
      <w:pPr>
        <w:pStyle w:val="Heading3"/>
      </w:pPr>
      <w:r>
        <w:t xml:space="preserve">6.1 The failure is applicability, not hallucination</w:t>
      </w:r>
    </w:p>
    <w:p>
      <w:pPr>
        <w:pStyle w:val="FirstParagraph"/>
      </w:pPr>
      <w:r>
        <w:t xml:space="preserve">Wrong-state citations were real articles from real codes, retrieved and faithfully reproduced. A metric that checks</w:t>
      </w:r>
      <w:r>
        <w:t xml:space="preserve"> </w:t>
      </w:r>
      <w:r>
        <w:t xml:space="preserve">whether a citation exists, or even whether it supports the sentence, would score many of them as correct. Legal RAG needs</w:t>
      </w:r>
      <w:r>
        <w:t xml:space="preserve"> </w:t>
      </w:r>
      <w:r>
        <w:t xml:space="preserve">an applicability check: does this law govern</w:t>
      </w:r>
      <w:r>
        <w:t xml:space="preserve"> </w:t>
      </w:r>
      <w:r>
        <w:rPr>
          <w:i/>
          <w:iCs/>
        </w:rPr>
        <w:t xml:space="preserve">these</w:t>
      </w:r>
      <w:r>
        <w:t xml:space="preserve"> </w:t>
      </w:r>
      <w:r>
        <w:t xml:space="preserve">facts,</w:t>
      </w:r>
      <w:r>
        <w:t xml:space="preserve"> </w:t>
      </w:r>
      <w:r>
        <w:rPr>
          <w:i/>
          <w:iCs/>
        </w:rPr>
        <w:t xml:space="preserve">here</w:t>
      </w:r>
      <w:r>
        <w:t xml:space="preserve">,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person? Prompting does not supply that</w:t>
      </w:r>
      <w:r>
        <w:t xml:space="preserve"> </w:t>
      </w:r>
      <w:r>
        <w:t xml:space="preserve">check (round 1’s plain prompt asked for the state and still cited other states); changing what the model sees does</w:t>
      </w:r>
      <w:r>
        <w:t xml:space="preserve"> </w:t>
      </w:r>
      <w:r>
        <w:t xml:space="preserve">(Table 2).</w:t>
      </w:r>
    </w:p>
    <w:bookmarkEnd w:id="30"/>
    <w:bookmarkStart w:id="31" w:name="tone-is-a-safety-variable"/>
    <w:p>
      <w:pPr>
        <w:pStyle w:val="Heading3"/>
      </w:pPr>
      <w:r>
        <w:t xml:space="preserve">6.2 Tone is a safety variable</w:t>
      </w:r>
    </w:p>
    <w:p>
      <w:pPr>
        <w:pStyle w:val="FirstParagraph"/>
      </w:pPr>
      <w:r>
        <w:t xml:space="preserve">Round 2 replicates, with random assignment and three prompts, the pattern round 1 only suggested: plain, warm language</w:t>
      </w:r>
      <w:r>
        <w:t xml:space="preserve"> </w:t>
      </w:r>
      <w:r>
        <w:t xml:space="preserve">raised stated willingness to act (by about 50 points among lay participants) and trust (up to one scale point) without</w:t>
      </w:r>
      <w:r>
        <w:t xml:space="preserve"> </w:t>
      </w:r>
      <w:r>
        <w:t xml:space="preserve">raising comprehension. This is consistent with work showing that fluency raises reliance more than accuracy [Cohen et al.</w:t>
      </w:r>
      <w:r>
        <w:t xml:space="preserve"> </w:t>
      </w:r>
      <w:r>
        <w:t xml:space="preserve">2026; Steyvers et al. 2025] and that warmth trades off against reliability [Ibrahim et al. 2025]. Two details sharpen it.</w:t>
      </w:r>
      <w:r>
        <w:t xml:space="preserve"> </w:t>
      </w:r>
      <w:r>
        <w:t xml:space="preserve">First, our manipulation did not change the model, the retrieval or the cited law: the share of first answers citing the</w:t>
      </w:r>
      <w:r>
        <w:t xml:space="preserve"> </w:t>
      </w:r>
      <w:r>
        <w:t xml:space="preserve">correct law was 66–68% in all three conditions. What changed was how persuasive the same evidence sounded. Second,</w:t>
      </w:r>
      <w:r>
        <w:t xml:space="preserve"> </w:t>
      </w:r>
      <w:r>
        <w:t xml:space="preserve">telling the model to be cautious did not make users cautious: the plain-and-cautious prompt produced the</w:t>
      </w:r>
      <w:r>
        <w:t xml:space="preserve"> </w:t>
      </w:r>
      <w:r>
        <w:rPr>
          <w:i/>
          <w:iCs/>
        </w:rPr>
        <w:t xml:space="preserve">highest</w:t>
      </w:r>
      <w:r>
        <w:t xml:space="preserve"> </w:t>
      </w:r>
      <w:r>
        <w:t xml:space="preserve">trust. Plain language is still the right goal for access to justice [Hagan 2024]; the formal prompt’s low willingness</w:t>
      </w:r>
      <w:r>
        <w:t xml:space="preserve"> </w:t>
      </w:r>
      <w:r>
        <w:t xml:space="preserve">to act is not a virtue, since participants also did not understand it better. The implication is that plain-language</w:t>
      </w:r>
      <w:r>
        <w:t xml:space="preserve"> </w:t>
      </w:r>
      <w:r>
        <w:t xml:space="preserve">legal assistants need mechanisms that make limits visible in ways users act on, for example asking for the state before</w:t>
      </w:r>
      <w:r>
        <w:t xml:space="preserve"> </w:t>
      </w:r>
      <w:r>
        <w:t xml:space="preserve">answering (the formal prompt asked most often, 56% of answers) or first-person uncertainty [Kim et al. 2024], and that</w:t>
      </w:r>
      <w:r>
        <w:t xml:space="preserve"> </w:t>
      </w:r>
      <w:r>
        <w:t xml:space="preserve">evaluations must measure comprehension and reliance separately, as the trust a prompt produces is not evidence that</w:t>
      </w:r>
      <w:r>
        <w:t xml:space="preserve"> </w:t>
      </w:r>
      <w:r>
        <w:t xml:space="preserve">users understood.</w:t>
      </w:r>
    </w:p>
    <w:bookmarkEnd w:id="31"/>
    <w:bookmarkStart w:id="32" w:name="X8ef1bafb95f17ad65b153643373ea31dd587aeb"/>
    <w:p>
      <w:pPr>
        <w:pStyle w:val="Heading3"/>
      </w:pPr>
      <w:r>
        <w:t xml:space="preserve">6.3 Applicability has more than one condition</w:t>
      </w:r>
    </w:p>
    <w:p>
      <w:pPr>
        <w:pStyle w:val="FirstParagraph"/>
      </w:pPr>
      <w:r>
        <w:t xml:space="preserve">The gate solved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and exposed</w:t>
      </w:r>
      <w:r>
        <w:t xml:space="preserve"> </w:t>
      </w:r>
      <w:r>
        <w:rPr>
          <w:i/>
          <w:iCs/>
        </w:rPr>
        <w:t xml:space="preserve">who</w:t>
      </w:r>
      <w:r>
        <w:t xml:space="preserve">. Switching off the women’s-violence law fixed the gender-neutral scenario at the</w:t>
      </w:r>
      <w:r>
        <w:t xml:space="preserve"> </w:t>
      </w:r>
      <w:r>
        <w:t xml:space="preserve">price of hiding the law from the women it protects. A legal assistant must reason about the person, not only the place,</w:t>
      </w:r>
      <w:r>
        <w:t xml:space="preserve"> </w:t>
      </w:r>
      <w:r>
        <w:t xml:space="preserve">and must ask when the answer depends on facts the user has not given. Each repair moves the error to the next condition</w:t>
      </w:r>
      <w:r>
        <w:t xml:space="preserve"> </w:t>
      </w:r>
      <w:r>
        <w:t xml:space="preserve">the system does not model, which is an argument for evaluating with real users, whose stories contain the conditions</w:t>
      </w:r>
      <w:r>
        <w:t xml:space="preserve"> </w:t>
      </w:r>
      <w:r>
        <w:t xml:space="preserve">benchmark authors did not anticipate.</w:t>
      </w:r>
    </w:p>
    <w:bookmarkEnd w:id="32"/>
    <w:bookmarkStart w:id="33" w:name="our-metrics-misled-us"/>
    <w:p>
      <w:pPr>
        <w:pStyle w:val="Heading3"/>
      </w:pPr>
      <w:r>
        <w:t xml:space="preserve">6.4 Our metrics misled us</w:t>
      </w:r>
    </w:p>
    <w:p>
      <w:pPr>
        <w:pStyle w:val="FirstParagraph"/>
      </w:pPr>
      <w:r>
        <w:t xml:space="preserve">Our first wrong-state metric counted any mention of a place: the correct summons answer</w:t>
      </w:r>
      <w:r>
        <w:t xml:space="preserve"> </w:t>
      </w:r>
      <w:r>
        <w:t xml:space="preserve">“Querétaro, not Mexico City,</w:t>
      </w:r>
      <w:r>
        <w:t xml:space="preserve"> </w:t>
      </w:r>
      <w:r>
        <w:t xml:space="preserve">governs”</w:t>
      </w:r>
      <w:r>
        <w:t xml:space="preserve"> </w:t>
      </w:r>
      <w:r>
        <w:t xml:space="preserve">scored as citing Mexico City. Our second, the version in the study dashboard, treated as allowed only the codes</w:t>
      </w:r>
      <w:r>
        <w:t xml:space="preserve"> </w:t>
      </w:r>
      <w:r>
        <w:t xml:space="preserve">of the laws in the answer key; in</w:t>
      </w:r>
      <w:r>
        <w:t xml:space="preserve"> </w:t>
      </w:r>
      <w:r>
        <w:t xml:space="preserve">“the photos”</w:t>
      </w:r>
      <w:r>
        <w:t xml:space="preserve"> </w:t>
      </w:r>
      <w:r>
        <w:t xml:space="preserve">the key is a general law, so citing Querétaro’s own penal code, which is</w:t>
      </w:r>
      <w:r>
        <w:t xml:space="preserve"> </w:t>
      </w:r>
      <w:r>
        <w:t xml:space="preserve">the right state, counted as an error, inflating round-2 wrong-state rates from 2% to about 8%. We report the strict</w:t>
      </w:r>
      <w:r>
        <w:t xml:space="preserve"> </w:t>
      </w:r>
      <w:r>
        <w:t xml:space="preserve">version, defined by the place where the facts occurred (Appendix B). Applicability metrics need the same scrutiny as the</w:t>
      </w:r>
      <w:r>
        <w:t xml:space="preserve"> </w:t>
      </w:r>
      <w:r>
        <w:t xml:space="preserve">systems they score.</w:t>
      </w:r>
    </w:p>
    <w:bookmarkEnd w:id="33"/>
    <w:bookmarkEnd w:id="34"/>
    <w:bookmarkStart w:id="35" w:name="limitations"/>
    <w:p>
      <w:pPr>
        <w:pStyle w:val="Heading2"/>
      </w:pPr>
      <w:r>
        <w:t xml:space="preserve">7. Limitations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Small samples.</w:t>
      </w:r>
      <w:r>
        <w:t xml:space="preserve"> </w:t>
      </w:r>
      <w:r>
        <w:t xml:space="preserve">16–18 participants per prompt; differences in comprehension of 10–15 points cannot be detected yet</w:t>
      </w:r>
      <w:r>
        <w:t xml:space="preserve"> </w:t>
      </w:r>
      <w:r>
        <w:t xml:space="preserve">(Section 8). The comprehension result is an absence of evidence, not evidence of absence.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Uneven legal training across prompts</w:t>
      </w:r>
      <w:r>
        <w:t xml:space="preserve"> </w:t>
      </w:r>
      <w:r>
        <w:t xml:space="preserve">(1, 6 and 5 legally trained participants). We report lay participants</w:t>
      </w:r>
      <w:r>
        <w:t xml:space="preserve"> </w:t>
      </w:r>
      <w:r>
        <w:t xml:space="preserve">separately; stratified assignment would have prevented this.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 confound for the third prompt.</w:t>
      </w:r>
      <w:r>
        <w:t xml:space="preserve"> </w:t>
      </w:r>
      <w:r>
        <w:t xml:space="preserve">Its first six participants arrived consecutively after 28 October.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Self-reported willingness to act</w:t>
      </w:r>
      <w:r>
        <w:t xml:space="preserve">, not behavior. Trust scales exist only from 26 October.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Recruitment</w:t>
      </w:r>
      <w:r>
        <w:t xml:space="preserve"> </w:t>
      </w:r>
      <w:r>
        <w:t xml:space="preserve">through public links in messaging groups; participants may share networks.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Prompts differ in more than tone</w:t>
      </w:r>
      <w:r>
        <w:t xml:space="preserve"> </w:t>
      </w:r>
      <w:r>
        <w:t xml:space="preserve">(length, structure, whether they ask for the state, whether they offer to draft</w:t>
      </w:r>
      <w:r>
        <w:t xml:space="preserve"> </w:t>
      </w:r>
      <w:r>
        <w:t xml:space="preserve">filings), so we cannot isolate tone.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Metrics are automatic</w:t>
      </w:r>
      <w:r>
        <w:t xml:space="preserve"> </w:t>
      </w:r>
      <w:r>
        <w:t xml:space="preserve">(regular expressions over answers). Human grading by legal experts is pending (0 answers</w:t>
      </w:r>
      <w:r>
        <w:t xml:space="preserve"> </w:t>
      </w:r>
      <w:r>
        <w:t xml:space="preserve">graded so far).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Same model as judge</w:t>
      </w:r>
      <w:r>
        <w:t xml:space="preserve"> </w:t>
      </w:r>
      <w:r>
        <w:t xml:space="preserve">in our earlier expert benchmark [Panickssery et al. 2024]; not used for any number in this</w:t>
      </w:r>
      <w:r>
        <w:t xml:space="preserve"> </w:t>
      </w:r>
      <w:r>
        <w:t xml:space="preserve">draft.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Nine sources switched off</w:t>
      </w:r>
      <w:r>
        <w:t xml:space="preserve"> </w:t>
      </w:r>
      <w:r>
        <w:t xml:space="preserve">between rounds, so round 1 and round 2 corpora differ.</w:t>
      </w:r>
    </w:p>
    <w:bookmarkEnd w:id="35"/>
    <w:bookmarkStart w:id="36" w:name="how-much-more-data"/>
    <w:p>
      <w:pPr>
        <w:pStyle w:val="Heading2"/>
      </w:pPr>
      <w:r>
        <w:t xml:space="preserve">8. How much more data</w:t>
      </w:r>
    </w:p>
    <w:p>
      <w:pPr>
        <w:pStyle w:val="FirstParagraph"/>
      </w:pPr>
      <w:r>
        <w:t xml:space="preserve">Using the spread observed between participants in round 2 (standard deviation of each person’s mean), two-sided</w:t>
      </w:r>
      <w:r>
        <w:t xml:space="preserve"> </w:t>
      </w:r>
      <w:r>
        <w:t xml:space="preserve">α = 0.05 and 80% power: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 we want to make</w:t>
            </w:r>
          </w:p>
        </w:tc>
        <w:tc>
          <w:tcPr/>
          <w:p>
            <w:pPr>
              <w:pStyle w:val="Compact"/>
            </w:pPr>
            <w:r>
              <w:t xml:space="preserve">Participants needed per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a 15-point difference in comprehension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a 10-point difference in comprehension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comprehension differs by less than ±10 points (equivalence)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a 0.5-point difference in trust (1–5)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a 10-point difference in noticing a problem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</w:tr>
    </w:tbl>
    <w:p>
      <w:pPr>
        <w:pStyle w:val="BodyText"/>
      </w:pPr>
      <w:r>
        <w:t xml:space="preserve">The willingness-to-act difference is already detected. The trust difference between the formal and plain-and-cautious</w:t>
      </w:r>
      <w:r>
        <w:t xml:space="preserve"> </w:t>
      </w:r>
      <w:r>
        <w:t xml:space="preserve">prompts is detected; trust differences between the two plain prompts need about 43 per prompt. Our plan is to reach</w:t>
      </w:r>
      <w:r>
        <w:t xml:space="preserve"> </w:t>
      </w:r>
      <w:r>
        <w:t xml:space="preserve">about 45 participants per prompt (about 135 in total, about 85 more), assigning within strata of legal training, and to</w:t>
      </w:r>
      <w:r>
        <w:t xml:space="preserve"> </w:t>
      </w:r>
      <w:r>
        <w:t xml:space="preserve">treat comprehension equivalence as a question for a larger, preregistered follow-up.</w:t>
      </w:r>
    </w:p>
    <w:bookmarkEnd w:id="36"/>
    <w:bookmarkStart w:id="37" w:name="ethical-considerations"/>
    <w:p>
      <w:pPr>
        <w:pStyle w:val="Heading2"/>
      </w:pPr>
      <w:r>
        <w:t xml:space="preserve">9. Ethical considerations</w:t>
      </w:r>
    </w:p>
    <w:p>
      <w:pPr>
        <w:pStyle w:val="FirstParagraph"/>
      </w:pPr>
      <w:r>
        <w:t xml:space="preserve">Fictional situations, anonymous codes, informed consent approved by ⚠ [institution / protocol id], withdrawal with</w:t>
      </w:r>
      <w:r>
        <w:t xml:space="preserve"> </w:t>
      </w:r>
      <w:r>
        <w:t xml:space="preserve">immediate deletion, and deletion on request by code. No names, emails or IP addresses are stored with responses. The</w:t>
      </w:r>
      <w:r>
        <w:t xml:space="preserve"> </w:t>
      </w:r>
      <w:r>
        <w:t xml:space="preserve">assistant was evaluated as a research system; it states that it does not replace a lawyer. The situations include</w:t>
      </w:r>
      <w:r>
        <w:t xml:space="preserve"> </w:t>
      </w:r>
      <w:r>
        <w:t xml:space="preserve">sexual harassment and threats to publish intimate images; participants could stop at any time. Switching off the</w:t>
      </w:r>
      <w:r>
        <w:t xml:space="preserve"> </w:t>
      </w:r>
      <w:r>
        <w:t xml:space="preserve">women’s-violence law is a research stopgap with a cost we name in Section 6.3.</w:t>
      </w:r>
    </w:p>
    <w:bookmarkEnd w:id="37"/>
    <w:bookmarkStart w:id="38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A legal assistant can cite real law, sound clear and kind, and still mislead, because the law it cites belongs to</w:t>
      </w:r>
      <w:r>
        <w:t xml:space="preserve"> </w:t>
      </w:r>
      <w:r>
        <w:t xml:space="preserve">another state or protects another kind of person. Most such errors came from retrieval, most users did not see them, and</w:t>
      </w:r>
      <w:r>
        <w:t xml:space="preserve"> </w:t>
      </w:r>
      <w:r>
        <w:t xml:space="preserve">a system-level gate removed almost all of the wrong-state citations. Making the assistant speak plainly, which is the</w:t>
      </w:r>
      <w:r>
        <w:t xml:space="preserve"> </w:t>
      </w:r>
      <w:r>
        <w:t xml:space="preserve">right goal for access to justice, raised trust and willingness to act without raising comprehension. Evaluations of</w:t>
      </w:r>
      <w:r>
        <w:t xml:space="preserve"> </w:t>
      </w:r>
      <w:r>
        <w:t xml:space="preserve">legal AI should be run with the people it is meant to serve, should check applicability (where and who), and should</w:t>
      </w:r>
      <w:r>
        <w:t xml:space="preserve"> </w:t>
      </w:r>
      <w:r>
        <w:t xml:space="preserve">treat tone as part of the safety case.</w:t>
      </w:r>
    </w:p>
    <w:p>
      <w:r>
        <w:pict>
          <v:rect style="width:0;height:1.5pt" o:hralign="center" o:hrstd="t" o:hr="t"/>
        </w:pict>
      </w:r>
    </w:p>
    <w:bookmarkEnd w:id="38"/>
    <w:bookmarkStart w:id="39" w:name="references-verify-before-submission"/>
    <w:p>
      <w:pPr>
        <w:pStyle w:val="Heading2"/>
      </w:pPr>
      <w:r>
        <w:t xml:space="preserve">References (⚠ = verify before submission)</w:t>
      </w:r>
    </w:p>
    <w:p>
      <w:pPr>
        <w:pStyle w:val="Compact"/>
        <w:numPr>
          <w:ilvl w:val="0"/>
          <w:numId w:val="1006"/>
        </w:numPr>
      </w:pPr>
      <w:r>
        <w:t xml:space="preserve">Basoah, J., Chechelnitsky, D., Long, T., Reinecke, K., Zerva, C., Zhou, K., Díaz, M., and Sap, M. 2025. Not Like Us,</w:t>
      </w:r>
      <w:r>
        <w:t xml:space="preserve"> </w:t>
      </w:r>
      <w:r>
        <w:t xml:space="preserve">Hunty: Measuring Perceptions and Behavioral Effects of Minoritized Anthropomorphic Cues in LLMs.</w:t>
      </w:r>
      <w:r>
        <w:t xml:space="preserve"> </w:t>
      </w:r>
      <w:r>
        <w:rPr>
          <w:i/>
          <w:iCs/>
        </w:rPr>
        <w:t xml:space="preserve">FAccT 2025</w:t>
      </w:r>
      <w:r>
        <w:t xml:space="preserve">.</w:t>
      </w:r>
      <w:r>
        <w:t xml:space="preserve"> </w:t>
      </w:r>
      <w:r>
        <w:t xml:space="preserve">arXiv:2505.05660.</w:t>
      </w:r>
    </w:p>
    <w:p>
      <w:pPr>
        <w:pStyle w:val="Compact"/>
        <w:numPr>
          <w:ilvl w:val="0"/>
          <w:numId w:val="1006"/>
        </w:numPr>
      </w:pPr>
      <w:r>
        <w:t xml:space="preserve">Buçinca, Z., Malaya, M. B., and Gajos, K. Z. 2021. To Trust or to Think: Cognitive Forcing Functions Can Reduce</w:t>
      </w:r>
      <w:r>
        <w:t xml:space="preserve"> </w:t>
      </w:r>
      <w:r>
        <w:t xml:space="preserve">Overreliance on AI in AI-assisted Decision-making.</w:t>
      </w:r>
      <w:r>
        <w:t xml:space="preserve"> </w:t>
      </w:r>
      <w:r>
        <w:rPr>
          <w:i/>
          <w:iCs/>
        </w:rPr>
        <w:t xml:space="preserve">PACM HCI 5 (CSCW1)</w:t>
      </w:r>
      <w:r>
        <w:t xml:space="preserve">. arXiv:2102.09692.</w:t>
      </w:r>
    </w:p>
    <w:p>
      <w:pPr>
        <w:pStyle w:val="Compact"/>
        <w:numPr>
          <w:ilvl w:val="0"/>
          <w:numId w:val="1006"/>
        </w:numPr>
      </w:pPr>
      <w:r>
        <w:t xml:space="preserve">Cheng, M., Yu, S., Lee, C., Khadpe, P., Ibrahim, L., and Jurafsky, D. 2026. ELEPHANT: Measuring and Understanding Social</w:t>
      </w:r>
      <w:r>
        <w:t xml:space="preserve"> </w:t>
      </w:r>
      <w:r>
        <w:t xml:space="preserve">Sycophancy in LLMs.</w:t>
      </w:r>
      <w:r>
        <w:t xml:space="preserve"> </w:t>
      </w:r>
      <w:r>
        <w:rPr>
          <w:i/>
          <w:iCs/>
        </w:rPr>
        <w:t xml:space="preserve">ICLR 2026</w:t>
      </w:r>
      <w:r>
        <w:t xml:space="preserve">. arXiv:2505.13995.</w:t>
      </w:r>
    </w:p>
    <w:p>
      <w:pPr>
        <w:pStyle w:val="Compact"/>
        <w:numPr>
          <w:ilvl w:val="0"/>
          <w:numId w:val="1006"/>
        </w:numPr>
      </w:pPr>
      <w:r>
        <w:t xml:space="preserve">Cohen, R., Feng, L., Bloch, A., and Kraus, S. 2026. The Persuasion Paradox: When LLM Explanations Fail to Improve</w:t>
      </w:r>
      <w:r>
        <w:t xml:space="preserve"> </w:t>
      </w:r>
      <w:r>
        <w:t xml:space="preserve">Human-AI Team Performance. arXiv:2604.03237. ⚠ preprint.</w:t>
      </w:r>
    </w:p>
    <w:p>
      <w:pPr>
        <w:pStyle w:val="Compact"/>
        <w:numPr>
          <w:ilvl w:val="0"/>
          <w:numId w:val="1006"/>
        </w:numPr>
      </w:pPr>
      <w:r>
        <w:t xml:space="preserve">Cohn, M., et al. 2024. Believing Anthropomorphism: Examining the Role of Anthropomorphic Cues on User Trust in Large</w:t>
      </w:r>
      <w:r>
        <w:t xml:space="preserve"> </w:t>
      </w:r>
      <w:r>
        <w:t xml:space="preserve">Language Models.</w:t>
      </w:r>
      <w:r>
        <w:t xml:space="preserve"> </w:t>
      </w:r>
      <w:r>
        <w:rPr>
          <w:i/>
          <w:iCs/>
        </w:rPr>
        <w:t xml:space="preserve">CHI 2024 (Extended Abstracts)</w:t>
      </w:r>
      <w:r>
        <w:t xml:space="preserve">. arXiv:2405.06079. ⚠ full author list and track.</w:t>
      </w:r>
    </w:p>
    <w:p>
      <w:pPr>
        <w:pStyle w:val="Compact"/>
        <w:numPr>
          <w:ilvl w:val="0"/>
          <w:numId w:val="1006"/>
        </w:numPr>
      </w:pPr>
      <w:r>
        <w:t xml:space="preserve">Cuconasu, F., et al. 2024. The Power of Noise: Redefining Retrieval for RAG Systems.</w:t>
      </w:r>
      <w:r>
        <w:t xml:space="preserve"> </w:t>
      </w:r>
      <w:r>
        <w:rPr>
          <w:i/>
          <w:iCs/>
        </w:rPr>
        <w:t xml:space="preserve">SIGIR 2024</w:t>
      </w:r>
      <w:r>
        <w:t xml:space="preserve">. arXiv:2401.14887.</w:t>
      </w:r>
    </w:p>
    <w:p>
      <w:pPr>
        <w:pStyle w:val="Compact"/>
        <w:numPr>
          <w:ilvl w:val="0"/>
          <w:numId w:val="1006"/>
        </w:numPr>
      </w:pPr>
      <w:r>
        <w:t xml:space="preserve">Dadopoulos, M., Ladas, A., Moschidis, S., and Negkakis, I. 2025. Metadata-Driven Retrieval-Augmented Generation for</w:t>
      </w:r>
      <w:r>
        <w:t xml:space="preserve"> </w:t>
      </w:r>
      <w:r>
        <w:t xml:space="preserve">Financial Question Answering. arXiv:2510.24402. ⚠ preprint.</w:t>
      </w:r>
    </w:p>
    <w:p>
      <w:pPr>
        <w:pStyle w:val="Compact"/>
        <w:numPr>
          <w:ilvl w:val="0"/>
          <w:numId w:val="1006"/>
        </w:numPr>
      </w:pPr>
      <w:r>
        <w:t xml:space="preserve">Dahl, M., Magesh, V., Suzgun, M., and Ho, D. E. 2024. Large Legal Fictions: Profiling Legal Hallucinations in Large</w:t>
      </w:r>
      <w:r>
        <w:t xml:space="preserve"> </w:t>
      </w:r>
      <w:r>
        <w:t xml:space="preserve">Language Models.</w:t>
      </w:r>
      <w:r>
        <w:t xml:space="preserve"> </w:t>
      </w:r>
      <w:r>
        <w:rPr>
          <w:i/>
          <w:iCs/>
        </w:rPr>
        <w:t xml:space="preserve">Journal of Legal Analysis</w:t>
      </w:r>
      <w:r>
        <w:t xml:space="preserve"> </w:t>
      </w:r>
      <w:r>
        <w:t xml:space="preserve">16(1): 64–93. doi:10.1093/jla/laae003.</w:t>
      </w:r>
    </w:p>
    <w:p>
      <w:pPr>
        <w:pStyle w:val="Compact"/>
        <w:numPr>
          <w:ilvl w:val="0"/>
          <w:numId w:val="1006"/>
        </w:numPr>
      </w:pPr>
      <w:r>
        <w:t xml:space="preserve">Gao, L., Ma, X., Lin, J., and Callan, J. 2023. Precise Zero-Shot Dense Retrieval without Relevance Labels.</w:t>
      </w:r>
      <w:r>
        <w:t xml:space="preserve"> </w:t>
      </w:r>
      <w:r>
        <w:rPr>
          <w:i/>
          <w:iCs/>
        </w:rPr>
        <w:t xml:space="preserve">ACL 2023</w:t>
      </w:r>
      <w:r>
        <w:t xml:space="preserve">.</w:t>
      </w:r>
      <w:r>
        <w:t xml:space="preserve"> </w:t>
      </w:r>
      <w:r>
        <w:t xml:space="preserve">arXiv:2212.10496.</w:t>
      </w:r>
    </w:p>
    <w:p>
      <w:pPr>
        <w:pStyle w:val="Compact"/>
        <w:numPr>
          <w:ilvl w:val="0"/>
          <w:numId w:val="1006"/>
        </w:numPr>
      </w:pPr>
      <w:r>
        <w:t xml:space="preserve">Hagan, M. 2024. Measuring What Matters: Developing Human-Centered Legal Q-and-A Quality Standards through</w:t>
      </w:r>
      <w:r>
        <w:t xml:space="preserve"> </w:t>
      </w:r>
      <w:r>
        <w:t xml:space="preserve">Multi-Stakeholder Research.</w:t>
      </w:r>
      <w:r>
        <w:t xml:space="preserve"> </w:t>
      </w:r>
      <w:r>
        <w:rPr>
          <w:i/>
          <w:iCs/>
        </w:rPr>
        <w:t xml:space="preserve">JURIX 2024</w:t>
      </w:r>
      <w:r>
        <w:t xml:space="preserve">. ⚠ pages/DOI.</w:t>
      </w:r>
    </w:p>
    <w:p>
      <w:pPr>
        <w:pStyle w:val="Compact"/>
        <w:numPr>
          <w:ilvl w:val="0"/>
          <w:numId w:val="1006"/>
        </w:numPr>
      </w:pPr>
      <w:r>
        <w:t xml:space="preserve">Ibrahim, L., Hafner, F. S., and Rocher, L. 2025. Training Language Models to Be Warm and Empathetic Makes Them Less</w:t>
      </w:r>
      <w:r>
        <w:t xml:space="preserve"> </w:t>
      </w:r>
      <w:r>
        <w:t xml:space="preserve">Reliable and More Sycophantic. arXiv:2507.21919. ⚠ preprint; check venue.</w:t>
      </w:r>
    </w:p>
    <w:p>
      <w:pPr>
        <w:pStyle w:val="Compact"/>
        <w:numPr>
          <w:ilvl w:val="0"/>
          <w:numId w:val="1006"/>
        </w:numPr>
      </w:pPr>
      <w:r>
        <w:t xml:space="preserve">Kim, S. S. Y., Liao, Q. V., Vorvoreanu, M., Ballard, S., and Wortman Vaughan, J. 2024.</w:t>
      </w:r>
      <w:r>
        <w:t xml:space="preserve"> </w:t>
      </w:r>
      <w:r>
        <w:t xml:space="preserve">“I’m Not Sure, But…”</w:t>
      </w:r>
      <w:r>
        <w:t xml:space="preserve">:</w:t>
      </w:r>
      <w:r>
        <w:t xml:space="preserve"> </w:t>
      </w:r>
      <w:r>
        <w:t xml:space="preserve">Examining the Impact of Large Language Models’ Uncertainty Expression on User Reliance and Trust.</w:t>
      </w:r>
      <w:r>
        <w:t xml:space="preserve"> </w:t>
      </w:r>
      <w:r>
        <w:rPr>
          <w:i/>
          <w:iCs/>
        </w:rPr>
        <w:t xml:space="preserve">FAccT 2024</w:t>
      </w:r>
      <w:r>
        <w:t xml:space="preserve">.</w:t>
      </w:r>
      <w:r>
        <w:t xml:space="preserve"> </w:t>
      </w:r>
      <w:r>
        <w:t xml:space="preserve">doi:10.1145/3630106.3658941.</w:t>
      </w:r>
    </w:p>
    <w:p>
      <w:pPr>
        <w:pStyle w:val="Compact"/>
        <w:numPr>
          <w:ilvl w:val="0"/>
          <w:numId w:val="1006"/>
        </w:numPr>
      </w:pPr>
      <w:r>
        <w:t xml:space="preserve">Magesh, V., Surani, F., Dahl, M., Suzgun, M., Manning, C. D., and Ho, D. E. 2025. Hallucination-Free? Assessing the</w:t>
      </w:r>
      <w:r>
        <w:t xml:space="preserve"> </w:t>
      </w:r>
      <w:r>
        <w:t xml:space="preserve">Reliability of Leading AI Legal Research Tools.</w:t>
      </w:r>
      <w:r>
        <w:t xml:space="preserve"> </w:t>
      </w:r>
      <w:r>
        <w:rPr>
          <w:i/>
          <w:iCs/>
        </w:rPr>
        <w:t xml:space="preserve">Journal of Empirical Legal Studies</w:t>
      </w:r>
      <w:r>
        <w:t xml:space="preserve"> </w:t>
      </w:r>
      <w:r>
        <w:t xml:space="preserve">22: 216–242.</w:t>
      </w:r>
      <w:r>
        <w:t xml:space="preserve"> </w:t>
      </w:r>
      <w:r>
        <w:t xml:space="preserve">doi:10.1111/jels.12413.</w:t>
      </w:r>
    </w:p>
    <w:p>
      <w:pPr>
        <w:pStyle w:val="Compact"/>
        <w:numPr>
          <w:ilvl w:val="0"/>
          <w:numId w:val="1006"/>
        </w:numPr>
      </w:pPr>
      <w:r>
        <w:t xml:space="preserve">Mind the Gap: A Systematic Review and Benchmark of Spanish-Language Legal Question Answering in Latin America. 2026.</w:t>
      </w:r>
      <w:r>
        <w:t xml:space="preserve"> </w:t>
      </w:r>
      <w:r>
        <w:rPr>
          <w:i/>
          <w:iCs/>
        </w:rPr>
        <w:t xml:space="preserve">ICML 2026</w:t>
      </w:r>
      <w:r>
        <w:t xml:space="preserve">. ⚠ authors.</w:t>
      </w:r>
    </w:p>
    <w:p>
      <w:pPr>
        <w:pStyle w:val="Compact"/>
        <w:numPr>
          <w:ilvl w:val="0"/>
          <w:numId w:val="1006"/>
        </w:numPr>
      </w:pPr>
      <w:r>
        <w:t xml:space="preserve">Panickssery, A., Bowman, S. R., and Feng, S. 2024. LLM Evaluators Recognize and Favor Their Own Generations.</w:t>
      </w:r>
      <w:r>
        <w:t xml:space="preserve"> </w:t>
      </w:r>
      <w:r>
        <w:rPr>
          <w:i/>
          <w:iCs/>
        </w:rPr>
        <w:t xml:space="preserve">NeurIPS</w:t>
      </w:r>
      <w:r>
        <w:rPr>
          <w:i/>
          <w:iCs/>
        </w:rPr>
        <w:t xml:space="preserve"> </w:t>
      </w:r>
      <w:r>
        <w:rPr>
          <w:i/>
          <w:iCs/>
        </w:rPr>
        <w:t xml:space="preserve">2024</w:t>
      </w:r>
      <w:r>
        <w:t xml:space="preserve">. arXiv:2404.13076.</w:t>
      </w:r>
    </w:p>
    <w:p>
      <w:pPr>
        <w:pStyle w:val="Compact"/>
        <w:numPr>
          <w:ilvl w:val="0"/>
          <w:numId w:val="1006"/>
        </w:numPr>
      </w:pPr>
      <w:r>
        <w:t xml:space="preserve">Raji, I. D., Smart, A., White, R. N., Mitchell, M., Gebru, T., Hutchinson, B., Smith-Loud, J., Theron, D., and Barnes,</w:t>
      </w:r>
      <w:r>
        <w:t xml:space="preserve"> </w:t>
      </w:r>
      <w:r>
        <w:t xml:space="preserve">P. 2020. Closing the AI Accountability Gap.</w:t>
      </w:r>
      <w:r>
        <w:t xml:space="preserve"> </w:t>
      </w:r>
      <w:r>
        <w:rPr>
          <w:i/>
          <w:iCs/>
        </w:rPr>
        <w:t xml:space="preserve">FAT* 2020</w:t>
      </w:r>
      <w:r>
        <w:t xml:space="preserve">: 33–44. doi:10.1145/3351095.3372873.</w:t>
      </w:r>
    </w:p>
    <w:p>
      <w:pPr>
        <w:pStyle w:val="Compact"/>
        <w:numPr>
          <w:ilvl w:val="0"/>
          <w:numId w:val="1006"/>
        </w:numPr>
      </w:pPr>
      <w:r>
        <w:t xml:space="preserve">Raji, I. D., Kumar, I. E., Horowitz, A., and Selbst, A. 2022. The Fallacy of AI Functionality.</w:t>
      </w:r>
      <w:r>
        <w:t xml:space="preserve"> </w:t>
      </w:r>
      <w:r>
        <w:rPr>
          <w:i/>
          <w:iCs/>
        </w:rPr>
        <w:t xml:space="preserve">FAccT 2022</w:t>
      </w:r>
      <w:r>
        <w:t xml:space="preserve">.</w:t>
      </w:r>
      <w:r>
        <w:t xml:space="preserve"> </w:t>
      </w:r>
      <w:r>
        <w:t xml:space="preserve">doi:10.1145/3531146.3533158.</w:t>
      </w:r>
    </w:p>
    <w:p>
      <w:pPr>
        <w:pStyle w:val="Compact"/>
        <w:numPr>
          <w:ilvl w:val="0"/>
          <w:numId w:val="1006"/>
        </w:numPr>
      </w:pPr>
      <w:r>
        <w:t xml:space="preserve">Schneiders, E., Seabrooke, T., Krook, J., Hyde, R., Leesakul, N., Clos, J., and Fischer, J. E. 2025. Objection</w:t>
      </w:r>
      <w:r>
        <w:t xml:space="preserve"> </w:t>
      </w:r>
      <w:r>
        <w:t xml:space="preserve">Overruled! Lay People Can Distinguish Large Language Models from Lawyers, but Still Favour Advice from an LLM.</w:t>
      </w:r>
      <w:r>
        <w:t xml:space="preserve"> </w:t>
      </w:r>
      <w:r>
        <w:rPr>
          <w:i/>
          <w:iCs/>
        </w:rPr>
        <w:t xml:space="preserve">CHI</w:t>
      </w:r>
      <w:r>
        <w:rPr>
          <w:i/>
          <w:iCs/>
        </w:rPr>
        <w:t xml:space="preserve"> </w:t>
      </w:r>
      <w:r>
        <w:rPr>
          <w:i/>
          <w:iCs/>
        </w:rPr>
        <w:t xml:space="preserve">2025</w:t>
      </w:r>
      <w:r>
        <w:t xml:space="preserve">. arXiv:2409.07871.</w:t>
      </w:r>
    </w:p>
    <w:p>
      <w:pPr>
        <w:pStyle w:val="Compact"/>
        <w:numPr>
          <w:ilvl w:val="0"/>
          <w:numId w:val="1006"/>
        </w:numPr>
      </w:pPr>
      <w:r>
        <w:t xml:space="preserve">Sharma, M., Tong, M., Korbak, T., Duvenaud, D., Askell, A., Bowman, S. R., et al. 2024. Towards Understanding</w:t>
      </w:r>
      <w:r>
        <w:t xml:space="preserve"> </w:t>
      </w:r>
      <w:r>
        <w:t xml:space="preserve">Sycophancy in Language Models.</w:t>
      </w:r>
      <w:r>
        <w:t xml:space="preserve"> </w:t>
      </w:r>
      <w:r>
        <w:rPr>
          <w:i/>
          <w:iCs/>
        </w:rPr>
        <w:t xml:space="preserve">ICLR 2024</w:t>
      </w:r>
      <w:r>
        <w:t xml:space="preserve">. arXiv:2310.13548.</w:t>
      </w:r>
    </w:p>
    <w:p>
      <w:pPr>
        <w:pStyle w:val="Compact"/>
        <w:numPr>
          <w:ilvl w:val="0"/>
          <w:numId w:val="1006"/>
        </w:numPr>
      </w:pPr>
      <w:r>
        <w:t xml:space="preserve">Shi, F., Chen, X., Misra, K., Scales, N., Dohan, D., Chi, E., Schärli, N., and Zhou, D. 2023. Large Language Models Can</w:t>
      </w:r>
      <w:r>
        <w:t xml:space="preserve"> </w:t>
      </w:r>
      <w:r>
        <w:t xml:space="preserve">Be Easily Distracted by Irrelevant Context.</w:t>
      </w:r>
      <w:r>
        <w:t xml:space="preserve"> </w:t>
      </w:r>
      <w:r>
        <w:rPr>
          <w:i/>
          <w:iCs/>
        </w:rPr>
        <w:t xml:space="preserve">ICML 2023</w:t>
      </w:r>
      <w:r>
        <w:t xml:space="preserve">. arXiv:2302.00093.</w:t>
      </w:r>
    </w:p>
    <w:p>
      <w:pPr>
        <w:pStyle w:val="Compact"/>
        <w:numPr>
          <w:ilvl w:val="0"/>
          <w:numId w:val="1006"/>
        </w:numPr>
      </w:pPr>
      <w:r>
        <w:t xml:space="preserve">Steyvers, M., Tejeda, H., Kumar, A., Belem, C., Karny, S., Hu, X., Mayer, L., and Smyth, P. 2025. What Large Language</w:t>
      </w:r>
      <w:r>
        <w:t xml:space="preserve"> </w:t>
      </w:r>
      <w:r>
        <w:t xml:space="preserve">Models Know and What People Think They Know.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 </w:t>
      </w:r>
      <w:r>
        <w:t xml:space="preserve">7: 221–231.</w:t>
      </w:r>
    </w:p>
    <w:p>
      <w:pPr>
        <w:pStyle w:val="Compact"/>
        <w:numPr>
          <w:ilvl w:val="0"/>
          <w:numId w:val="1006"/>
        </w:numPr>
      </w:pPr>
      <w:r>
        <w:t xml:space="preserve">Suresh, H., and Guttag, J. 2021. A Framework for Understanding Sources of Harm throughout the Machine Learning Life</w:t>
      </w:r>
      <w:r>
        <w:t xml:space="preserve"> </w:t>
      </w:r>
      <w:r>
        <w:t xml:space="preserve">Cycle.</w:t>
      </w:r>
      <w:r>
        <w:t xml:space="preserve"> </w:t>
      </w:r>
      <w:r>
        <w:rPr>
          <w:i/>
          <w:iCs/>
        </w:rPr>
        <w:t xml:space="preserve">EAAMO 2021</w:t>
      </w:r>
      <w:r>
        <w:t xml:space="preserve">. doi:10.1145/3465416.3483305.</w:t>
      </w:r>
    </w:p>
    <w:p>
      <w:pPr>
        <w:pStyle w:val="Compact"/>
        <w:numPr>
          <w:ilvl w:val="0"/>
          <w:numId w:val="1006"/>
        </w:numPr>
      </w:pPr>
      <w:r>
        <w:t xml:space="preserve">Vasconcelos, H., Jörke, M., Grunde-McLaughlin, M., Gerstenberg, T., Bernstein, M., and Krishna, R. 2023. Explanations</w:t>
      </w:r>
      <w:r>
        <w:t xml:space="preserve"> </w:t>
      </w:r>
      <w:r>
        <w:t xml:space="preserve">Can Reduce Overreliance on AI Systems During Decision-Making.</w:t>
      </w:r>
      <w:r>
        <w:t xml:space="preserve"> </w:t>
      </w:r>
      <w:r>
        <w:rPr>
          <w:i/>
          <w:iCs/>
        </w:rPr>
        <w:t xml:space="preserve">PACM HCI 7 (CSCW1)</w:t>
      </w:r>
      <w:r>
        <w:t xml:space="preserve">, Art. 129. doi:10.1145/3579605.</w:t>
      </w:r>
    </w:p>
    <w:p>
      <w:pPr>
        <w:pStyle w:val="Compact"/>
        <w:numPr>
          <w:ilvl w:val="0"/>
          <w:numId w:val="1006"/>
        </w:numPr>
      </w:pPr>
      <w:r>
        <w:t xml:space="preserve">Xie, J., Zhang, K., Chen, J., Lou, R., and Su, Y. 2024. Adaptive Chameleon or Stubborn Sloth.</w:t>
      </w:r>
      <w:r>
        <w:t xml:space="preserve"> </w:t>
      </w:r>
      <w:r>
        <w:rPr>
          <w:i/>
          <w:iCs/>
        </w:rPr>
        <w:t xml:space="preserve">ICLR 2024</w:t>
      </w:r>
      <w:r>
        <w:t xml:space="preserve">.</w:t>
      </w:r>
      <w:r>
        <w:t xml:space="preserve"> </w:t>
      </w:r>
      <w:r>
        <w:t xml:space="preserve">arXiv:2305.13300.</w:t>
      </w:r>
    </w:p>
    <w:p>
      <w:pPr>
        <w:pStyle w:val="Compact"/>
        <w:numPr>
          <w:ilvl w:val="0"/>
          <w:numId w:val="1006"/>
        </w:numPr>
      </w:pPr>
      <w:r>
        <w:t xml:space="preserve">Xu, R., Qi, Z., Guo, Z., Wang, C., Wang, H., Zhang, Y., and Xu, W. 2024. Knowledge Conflicts for LLMs: A Survey.</w:t>
      </w:r>
      <w:r>
        <w:t xml:space="preserve"> </w:t>
      </w:r>
      <w:r>
        <w:rPr>
          <w:i/>
          <w:iCs/>
        </w:rPr>
        <w:t xml:space="preserve">EMNLP 2024</w:t>
      </w:r>
      <w:r>
        <w:t xml:space="preserve">. arXiv:2403.08319.</w:t>
      </w:r>
    </w:p>
    <w:p>
      <w:pPr>
        <w:pStyle w:val="Compact"/>
        <w:numPr>
          <w:ilvl w:val="0"/>
          <w:numId w:val="1006"/>
        </w:numPr>
      </w:pPr>
      <w:r>
        <w:t xml:space="preserve">Yang, X., et al. 2026. CrossLex: A Source-Grounded Benchmark for Cross-Jurisdictional Legal Reasoning in Large Language</w:t>
      </w:r>
      <w:r>
        <w:t xml:space="preserve"> </w:t>
      </w:r>
      <w:r>
        <w:t xml:space="preserve">Models. arXiv:2608.01292. ⚠ preprint; full author list.</w:t>
      </w:r>
    </w:p>
    <w:p>
      <w:pPr>
        <w:pStyle w:val="Compact"/>
        <w:numPr>
          <w:ilvl w:val="0"/>
          <w:numId w:val="1006"/>
        </w:numPr>
      </w:pPr>
      <w:r>
        <w:t xml:space="preserve">Zheng, L., Guha, N., Arifov, J., Zhang, S., Skreta, M., Manning, C. D., Henderson, P., and Ho, D. E. 2025. A</w:t>
      </w:r>
      <w:r>
        <w:t xml:space="preserve"> </w:t>
      </w:r>
      <w:r>
        <w:t xml:space="preserve">Reasoning-Focused Legal Retrieval Benchmark.</w:t>
      </w:r>
      <w:r>
        <w:t xml:space="preserve"> </w:t>
      </w:r>
      <w:r>
        <w:rPr>
          <w:i/>
          <w:iCs/>
        </w:rPr>
        <w:t xml:space="preserve">CS&amp;Law 2025</w:t>
      </w:r>
      <w:r>
        <w:t xml:space="preserve">. arXiv:2505.03970.</w:t>
      </w:r>
    </w:p>
    <w:p>
      <w:pPr>
        <w:pStyle w:val="Compact"/>
        <w:numPr>
          <w:ilvl w:val="0"/>
          <w:numId w:val="1006"/>
        </w:numPr>
      </w:pPr>
      <w:r>
        <w:t xml:space="preserve">⚠ Warmth/competence/empathy and trust in LLM chatbots (N = 115). arXiv:2604.15316. Authors to confirm.</w:t>
      </w:r>
    </w:p>
    <w:bookmarkEnd w:id="39"/>
    <w:bookmarkStart w:id="40" w:name="generative-ai-usage-statement"/>
    <w:p>
      <w:pPr>
        <w:pStyle w:val="Heading2"/>
      </w:pPr>
      <w:r>
        <w:t xml:space="preserve">Generative AI usage statement</w:t>
      </w:r>
    </w:p>
    <w:p>
      <w:pPr>
        <w:pStyle w:val="FirstParagraph"/>
      </w:pPr>
      <w:r>
        <w:t xml:space="preserve">⚠ To be written by the authors: which tools were used for drafting, analysis code and literature search, and that the</w:t>
      </w:r>
      <w:r>
        <w:t xml:space="preserve"> </w:t>
      </w:r>
      <w:r>
        <w:t xml:space="preserve">authors verified every number, quotation and citation.</w:t>
      </w:r>
    </w:p>
    <w:p>
      <w:r>
        <w:pict>
          <v:rect style="width:0;height:1.5pt" o:hralign="center" o:hrstd="t" o:hr="t"/>
        </w:pict>
      </w:r>
    </w:p>
    <w:bookmarkEnd w:id="40"/>
    <w:bookmarkStart w:id="41" w:name="appendix-a.-where-each-number-comes-from"/>
    <w:p>
      <w:pPr>
        <w:pStyle w:val="Heading2"/>
      </w:pPr>
      <w:r>
        <w:t xml:space="preserve">Appendix A. Where each number comes from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2, all tables in 5.3–5.4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06_evaluation/paper_2026-10-31/analisis_ronda2.py</w:t>
            </w:r>
            <w:r>
              <w:t xml:space="preserve"> </w:t>
            </w:r>
            <w:r>
              <w:t xml:space="preserve">run on the production database, 31 Oct 2026 07:57 UTC; output</w:t>
            </w:r>
            <w:r>
              <w:t xml:space="preserve"> </w:t>
            </w:r>
            <w:r>
              <w:rPr>
                <w:rStyle w:val="VerbatimChar"/>
              </w:rPr>
              <w:t xml:space="preserve">resultados_ronda2.json</w:t>
            </w:r>
            <w:r>
              <w:t xml:space="preserve"> </w:t>
            </w:r>
            <w:r>
              <w:t xml:space="preserve">(aggregates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1 wrong-state first answers, 53% (57/107), by prompt and situation</w:t>
            </w:r>
          </w:p>
        </w:tc>
        <w:tc>
          <w:tcPr/>
          <w:p>
            <w:pPr>
              <w:pStyle w:val="Compact"/>
            </w:pPr>
            <w:r>
              <w:t xml:space="preserve">same script,</w:t>
            </w:r>
            <w:r>
              <w:t xml:space="preserve"> </w:t>
            </w:r>
            <w:r>
              <w:rPr>
                <w:rStyle w:val="VerbatimChar"/>
              </w:rPr>
              <w:t xml:space="preserve">ronda1_1a_otro_estado_corregida</w:t>
            </w:r>
            <w:r>
              <w:t xml:space="preserve"> </w:t>
            </w:r>
            <w:r>
              <w:t xml:space="preserve">(strict metric, place where the facts occurred)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 of 121 codes came from retrieval</w:t>
            </w:r>
          </w:p>
        </w:tc>
        <w:tc>
          <w:tcPr/>
          <w:p>
            <w:pPr>
              <w:pStyle w:val="Compact"/>
            </w:pPr>
            <w:r>
              <w:t xml:space="preserve">all round-1 answers, 24 Oct (</w:t>
            </w:r>
            <w:r>
              <w:rPr>
                <w:rStyle w:val="VerbatimChar"/>
              </w:rPr>
              <w:t xml:space="preserve">replay_ronda1_2026-10-24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Noticed / would act by legal training, round 1</w:t>
            </w:r>
          </w:p>
        </w:tc>
        <w:tc>
          <w:tcPr/>
          <w:p>
            <w:pPr>
              <w:pStyle w:val="Compact"/>
            </w:pPr>
            <w:r>
              <w:t xml:space="preserve">final round-1 data by profile, 25 Oct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2 (replay)</w:t>
            </w:r>
          </w:p>
        </w:tc>
        <w:tc>
          <w:tcPr/>
          <w:p>
            <w:pPr>
              <w:pStyle w:val="Compact"/>
            </w:pPr>
            <w:r>
              <w:t xml:space="preserve">“Ronda 1 real”</w:t>
            </w:r>
            <w:r>
              <w:t xml:space="preserve"> </w:t>
            </w:r>
            <w:r>
              <w:t xml:space="preserve">runs #1–#2 (A), #4–#5 (B), #12–#13 (B + reranker), #6–#7 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6 (recall@10)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recall_sin_rerank.py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recall_apagar_fuentes.py</w:t>
            </w:r>
            <w:r>
              <w:t xml:space="preserve"> </w:t>
            </w:r>
            <w:r>
              <w:t xml:space="preserve">(24–25 Oct)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calculations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analisis_ronda2.py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tamano_de_muestra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A2. Round 2 by situation and prompt</w:t>
      </w:r>
      <w:r>
        <w:t xml:space="preserve"> </w:t>
      </w:r>
      <w:r>
        <w:t xml:space="preserve">(n = situations).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Formal legal</w:t>
            </w:r>
          </w:p>
        </w:tc>
        <w:tc>
          <w:tcPr/>
          <w:p>
            <w:pPr>
              <w:pStyle w:val="Compact"/>
            </w:pPr>
            <w:r>
              <w:t xml:space="preserve">Warm and comprehensive</w:t>
            </w:r>
          </w:p>
        </w:tc>
        <w:tc>
          <w:tcPr/>
          <w:p>
            <w:pPr>
              <w:pStyle w:val="Compact"/>
            </w:pPr>
            <w:r>
              <w:t xml:space="preserve">Plain and cautious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Workplace messages</w:t>
            </w:r>
          </w:p>
        </w:tc>
        <w:tc>
          <w:tcPr/>
          <w:p>
            <w:pPr>
              <w:pStyle w:val="Compact"/>
            </w:pPr>
            <w:r>
              <w:t xml:space="preserve">Comprehension</w:t>
            </w:r>
          </w:p>
        </w:tc>
        <w:tc>
          <w:tcPr/>
          <w:p>
            <w:pPr>
              <w:pStyle w:val="Compact"/>
            </w:pPr>
            <w:r>
              <w:t xml:space="preserve">63% (12)</w:t>
            </w:r>
          </w:p>
        </w:tc>
        <w:tc>
          <w:tcPr/>
          <w:p>
            <w:pPr>
              <w:pStyle w:val="Compact"/>
            </w:pPr>
            <w:r>
              <w:t xml:space="preserve">73% (13)</w:t>
            </w:r>
          </w:p>
        </w:tc>
        <w:tc>
          <w:tcPr/>
          <w:p>
            <w:pPr>
              <w:pStyle w:val="Compact"/>
            </w:pPr>
            <w:r>
              <w:t xml:space="preserve">71% (12)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Trust (1–5)</w:t>
            </w:r>
          </w:p>
        </w:tc>
        <w:tc>
          <w:tcPr/>
          <w:p>
            <w:pPr>
              <w:pStyle w:val="Compact"/>
            </w:pPr>
            <w:r>
              <w:t xml:space="preserve">3.25 (8)</w:t>
            </w:r>
          </w:p>
        </w:tc>
        <w:tc>
          <w:tcPr/>
          <w:p>
            <w:pPr>
              <w:pStyle w:val="Compact"/>
            </w:pPr>
            <w:r>
              <w:t xml:space="preserve">4.10 (10)</w:t>
            </w:r>
          </w:p>
        </w:tc>
        <w:tc>
          <w:tcPr/>
          <w:p>
            <w:pPr>
              <w:pStyle w:val="Compact"/>
            </w:pPr>
            <w:r>
              <w:t xml:space="preserve">4.42 (12)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Would act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Noticed a problem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Recall@10, first message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photos</w:t>
            </w:r>
          </w:p>
        </w:tc>
        <w:tc>
          <w:tcPr/>
          <w:p>
            <w:pPr>
              <w:pStyle w:val="Compact"/>
            </w:pPr>
            <w:r>
              <w:t xml:space="preserve">Comprehension</w:t>
            </w:r>
          </w:p>
        </w:tc>
        <w:tc>
          <w:tcPr/>
          <w:p>
            <w:pPr>
              <w:pStyle w:val="Compact"/>
            </w:pPr>
            <w:r>
              <w:t xml:space="preserve">63% (12)</w:t>
            </w:r>
          </w:p>
        </w:tc>
        <w:tc>
          <w:tcPr/>
          <w:p>
            <w:pPr>
              <w:pStyle w:val="Compact"/>
            </w:pPr>
            <w:r>
              <w:t xml:space="preserve">62% (13)</w:t>
            </w:r>
          </w:p>
        </w:tc>
        <w:tc>
          <w:tcPr/>
          <w:p>
            <w:pPr>
              <w:pStyle w:val="Compact"/>
            </w:pPr>
            <w:r>
              <w:t xml:space="preserve">58% (13)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Trust (1–5)</w:t>
            </w:r>
          </w:p>
        </w:tc>
        <w:tc>
          <w:tcPr/>
          <w:p>
            <w:pPr>
              <w:pStyle w:val="Compact"/>
            </w:pPr>
            <w:r>
              <w:t xml:space="preserve">3.38 (8)</w:t>
            </w:r>
          </w:p>
        </w:tc>
        <w:tc>
          <w:tcPr/>
          <w:p>
            <w:pPr>
              <w:pStyle w:val="Compact"/>
            </w:pPr>
            <w:r>
              <w:t xml:space="preserve">3.90 (10)</w:t>
            </w:r>
          </w:p>
        </w:tc>
        <w:tc>
          <w:tcPr/>
          <w:p>
            <w:pPr>
              <w:pStyle w:val="Compact"/>
            </w:pPr>
            <w:r>
              <w:t xml:space="preserve">4.23 (13)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Would act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Noticed a problem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Recall@10, first message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summons</w:t>
            </w:r>
          </w:p>
        </w:tc>
        <w:tc>
          <w:tcPr/>
          <w:p>
            <w:pPr>
              <w:pStyle w:val="Compact"/>
            </w:pPr>
            <w:r>
              <w:t xml:space="preserve">Comprehension</w:t>
            </w:r>
          </w:p>
        </w:tc>
        <w:tc>
          <w:tcPr/>
          <w:p>
            <w:pPr>
              <w:pStyle w:val="Compact"/>
            </w:pPr>
            <w:r>
              <w:t xml:space="preserve">58% (13)</w:t>
            </w:r>
          </w:p>
        </w:tc>
        <w:tc>
          <w:tcPr/>
          <w:p>
            <w:pPr>
              <w:pStyle w:val="Compact"/>
            </w:pPr>
            <w:r>
              <w:t xml:space="preserve">86% (14)</w:t>
            </w:r>
          </w:p>
        </w:tc>
        <w:tc>
          <w:tcPr/>
          <w:p>
            <w:pPr>
              <w:pStyle w:val="Compact"/>
            </w:pPr>
            <w:r>
              <w:t xml:space="preserve">75% (12)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Trust (1–5)</w:t>
            </w:r>
          </w:p>
        </w:tc>
        <w:tc>
          <w:tcPr/>
          <w:p>
            <w:pPr>
              <w:pStyle w:val="Compact"/>
            </w:pPr>
            <w:r>
              <w:t xml:space="preserve">3.22 (9)</w:t>
            </w:r>
          </w:p>
        </w:tc>
        <w:tc>
          <w:tcPr/>
          <w:p>
            <w:pPr>
              <w:pStyle w:val="Compact"/>
            </w:pPr>
            <w:r>
              <w:t xml:space="preserve">3.82 (11)</w:t>
            </w:r>
          </w:p>
        </w:tc>
        <w:tc>
          <w:tcPr/>
          <w:p>
            <w:pPr>
              <w:pStyle w:val="Compact"/>
            </w:pPr>
            <w:r>
              <w:t xml:space="preserve">3.92 (12)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Would act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Noticed a problem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Recall@10, first message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</w:tr>
    </w:tbl>
    <w:bookmarkEnd w:id="41"/>
    <w:bookmarkStart w:id="42" w:name="Xc0d505b9bbb284a14f42b4dfca405c801c98402"/>
    <w:p>
      <w:pPr>
        <w:pStyle w:val="Heading2"/>
      </w:pPr>
      <w:r>
        <w:t xml:space="preserve">Appendix B. Three versions of the wrong-state metric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Round 1 (mentions):</w:t>
      </w:r>
      <w:r>
        <w:t xml:space="preserve"> </w:t>
      </w:r>
      <w:r>
        <w:t xml:space="preserve">any mention of a place counts. Fails on</w:t>
      </w:r>
      <w:r>
        <w:t xml:space="preserve"> </w:t>
      </w:r>
      <w:r>
        <w:t xml:space="preserve">“Querétaro, not Mexico City, governs”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Dashboard (answer-key laws):</w:t>
      </w:r>
      <w:r>
        <w:t xml:space="preserve"> </w:t>
      </w:r>
      <w:r>
        <w:t xml:space="preserve">allowed codes = those of the laws in the answer key. Fails on</w:t>
      </w:r>
      <w:r>
        <w:t xml:space="preserve"> </w:t>
      </w:r>
      <w:r>
        <w:t xml:space="preserve">“the photos”</w:t>
      </w:r>
      <w:r>
        <w:t xml:space="preserve">, whose key</w:t>
      </w:r>
      <w:r>
        <w:t xml:space="preserve"> </w:t>
      </w:r>
      <w:r>
        <w:t xml:space="preserve">is a general law, so Querétaro’s own code counts as another state (inflates round 2 from 2% to about 8% of first</w:t>
      </w:r>
      <w:r>
        <w:t xml:space="preserve"> </w:t>
      </w:r>
      <w:r>
        <w:t xml:space="preserve">answers).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Strict (this paper):</w:t>
      </w:r>
      <w:r>
        <w:t xml:space="preserve"> </w:t>
      </w:r>
      <w:r>
        <w:t xml:space="preserve">the answer names the penal code of a state other than the one where the facts occurred</w:t>
      </w:r>
      <w:r>
        <w:t xml:space="preserve"> </w:t>
      </w:r>
      <w:r>
        <w:t xml:space="preserve">(Querétaro, or Mexico City in that variant of the workplace scenario). Same regular expressions as</w:t>
      </w:r>
      <w:r>
        <w:t xml:space="preserve"> </w:t>
      </w:r>
      <w:r>
        <w:rPr>
          <w:rStyle w:val="VerbatimChar"/>
        </w:rPr>
        <w:t xml:space="preserve">metrica_estricta.py</w:t>
      </w:r>
      <w:r>
        <w:t xml:space="preserve"> </w:t>
      </w:r>
      <w:r>
        <w:t xml:space="preserve">(24 Oct). For round 1, versions 2 and 3 give the same 53%.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2026-10-31T10:35:11Z</dcterms:created>
  <dcterms:modified xsi:type="dcterms:W3CDTF">2026-10-31T10:35:11Z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