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КП-1111-24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судов общей юрисдикции из 85 регионов РФ.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Более десятка миллионов решений мировых судей субъектов РФ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комментарии законодательства, книги и статьи, журналы, вопросы и ответы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версия на 1 одновременный доступ к системе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7280</w:t>
      </w:r>
      <w:r>
        <w:rPr>
          <w:b w:val="1"/>
          <w:bCs w:val="1"/>
        </w:rPr>
        <w:t xml:space="preserve">  При заключении договора от </w:t>
      </w:r>
      <w:r>
        <w:rPr>
          <w:color w:val="FF0000"/>
          <w:b w:val="1"/>
          <w:bCs w:val="1"/>
        </w:rPr>
        <w:t xml:space="preserve">  1 месяца</w:t>
      </w:r>
      <w:br/>
      <w:r>
        <w:rPr>
          <w:b w:val="1"/>
          <w:bCs w:val="1"/>
        </w:rPr>
        <w:t xml:space="preserve">Сумма за весь период обслуживания</w:t>
      </w:r>
      <w:r>
        <w:rPr>
          <w:color w:val="FF0000"/>
          <w:b w:val="1"/>
          <w:bCs w:val="1"/>
        </w:rPr>
        <w:t xml:space="preserve">  7280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111124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2024-02-08T12:09:31+00:00</dcterms:created>
  <dcterms:modified xsi:type="dcterms:W3CDTF">2024-02-08T12:09:31+00:00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