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КП-1177-24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Олегу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Олег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Объединивший в себе документы различных отраслевых тематик, полезен всем, чья сфера интересов связана с таможенными, земельными правоотношениями, банковской, правоохранительной, правозащитной, строительной и другими видами деятельности.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Справочник нормативно-технической документации по строительству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СНиП, ЕниРы, СНиР-91 Р, ГЭСН-2001, ГЭСНр-2001, ТОИ; Другие виды нормативно-технической документации – наиболее важные СП, СанПины, ГОСТы, РДС и др.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Справочник промышленника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Справочник промышленника» в системах ГАРАНТ включает в себя более 99 000 документов в области технического регулирования, охраны труда, метрологического обеспечения, экологии и промышленной безопасности (ГОСТы, ПБ, РД, СанПиНы, ТОИ и другие нормативы).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Справочник по охране труда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него включено более 15 тысяч документов по охране труда и социальной безопасности: правовые акты, стандарты, методические рекомендации, санитарные правила и нормы – то есть весь комплекс норм и стандартов для организации системы управления охраной труда на предприятии.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Справочник по техническому регулированию и стандартизации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системах ГАРАНТ содержит крупнейшую подборку государственных стандартов России, затрагивающих различные вопросы осуществления деятельности предприятий нефтегазового комплекса, электроэнергетики, организации строительства и строительного производства, пищевой и других сфер промышленности, и иные документы по стандартизации.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</w:r>
    </w:p>
    <w:p/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Гарант-Эксперт PRO Интернет версия на 1 одновременный доступ к системе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9014</w:t>
      </w:r>
      <w:r>
        <w:rPr>
          <w:b w:val="1"/>
          <w:bCs w:val="1"/>
        </w:rPr>
        <w:t xml:space="preserve">  При заключении договора от </w:t>
      </w:r>
      <w:r>
        <w:rPr>
          <w:color w:val="FF0000"/>
          <w:b w:val="1"/>
          <w:bCs w:val="1"/>
        </w:rPr>
        <w:t xml:space="preserve">  1 месяца</w:t>
      </w:r>
      <w:br/>
      <w:r>
        <w:rPr>
          <w:b w:val="1"/>
          <w:bCs w:val="1"/>
        </w:rPr>
        <w:t xml:space="preserve">Сумма за весь период обслуживания</w:t>
      </w:r>
      <w:r>
        <w:rPr>
          <w:color w:val="FF0000"/>
          <w:b w:val="1"/>
          <w:bCs w:val="1"/>
        </w:rPr>
        <w:t xml:space="preserve">  9014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117724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Девять тысяч четырнадцать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2024-02-10T09:04:06+00:00</dcterms:created>
  <dcterms:modified xsi:type="dcterms:W3CDTF">2024-02-10T09:04:06+00:00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