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6"/>
                <w:szCs w:val="16"/>
              </w:rPr>
              <w:t xml:space="preserve">Исх. № КП-1342-24</w:t>
            </w:r>
          </w:p>
        </w:tc>
        <w:tc>
          <w:tcPr>
            <w:tcW w:w="10800" w:type="dxa"/>
          </w:tcPr>
          <w:p>
            <w:pPr>
              <w:jc w:val="end"/>
              <w:spacing w:before="0" w:after="0" w:line="240" w:lineRule="auto"/>
            </w:pPr>
            <w:r>
              <w:rPr>
                <w:rFonts w:ascii="Arial" w:hAnsi="Arial" w:eastAsia="Arial" w:cs="Arial"/>
                <w:lang w:val="ru-RU"/>
                <w:color w:val="120D21"/>
                <w:sz w:val="16"/>
                <w:szCs w:val="16"/>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6"/>
                <w:szCs w:val="16"/>
              </w:rPr>
              <w:t xml:space="preserve">ИНН: 1234567890</w:t>
            </w:r>
          </w:p>
          <w:p>
            <w:pPr>
              <w:jc w:val="end"/>
              <w:spacing w:before="0" w:after="0" w:line="240" w:lineRule="auto"/>
            </w:pPr>
            <w:r>
              <w:rPr>
                <w:rFonts w:ascii="Arial" w:hAnsi="Arial" w:eastAsia="Arial" w:cs="Arial"/>
                <w:lang w:val="ru-RU"/>
                <w:color w:val="120D21"/>
                <w:sz w:val="16"/>
                <w:szCs w:val="16"/>
              </w:rPr>
              <w:t xml:space="preserve">Директору</w:t>
            </w:r>
          </w:p>
          <w:p>
            <w:pPr>
              <w:jc w:val="end"/>
              <w:spacing w:before="0" w:after="0" w:line="240" w:lineRule="auto"/>
            </w:pPr>
            <w:r>
              <w:rPr>
                <w:rFonts w:ascii="Arial" w:hAnsi="Arial" w:eastAsia="Arial" w:cs="Arial"/>
                <w:lang w:val="ru-RU"/>
                <w:color w:val="120D21"/>
                <w:sz w:val="16"/>
                <w:szCs w:val="16"/>
              </w:rPr>
              <w:t xml:space="preserve">Ивану Иванову</w:t>
            </w:r>
          </w:p>
        </w:tc>
      </w:tr>
    </w:tbl>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18"/>
          <w:szCs w:val="18"/>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18"/>
          <w:szCs w:val="18"/>
        </w:rPr>
        <w:t xml:space="preserve">С системой ГАРАНТ Вы сможете: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Решить любую задачу с полной информационной и правовой поддержкой:</w:t>
      </w:r>
      <w:r>
        <w:rPr>
          <w:rFonts w:ascii="Arial" w:hAnsi="Arial" w:eastAsia="Arial" w:cs="Arial"/>
          <w:lang w:val="ru-RU"/>
          <w:color w:val="120D21"/>
          <w:sz w:val="18"/>
          <w:szCs w:val="18"/>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Пользоваться качественным сервисным обслуживанием:</w:t>
      </w:r>
      <w:r>
        <w:rPr>
          <w:rFonts w:ascii="Arial" w:hAnsi="Arial" w:eastAsia="Arial" w:cs="Arial"/>
          <w:lang w:val="ru-RU"/>
          <w:color w:val="120D21"/>
          <w:sz w:val="18"/>
          <w:szCs w:val="18"/>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только с актуальной правовой информацией:</w:t>
      </w:r>
      <w:r>
        <w:rPr>
          <w:rFonts w:ascii="Arial" w:hAnsi="Arial" w:eastAsia="Arial" w:cs="Arial"/>
          <w:lang w:val="ru-RU"/>
          <w:color w:val="120D21"/>
          <w:sz w:val="18"/>
          <w:szCs w:val="18"/>
        </w:rPr>
        <w:t xml:space="preserve">  комплект обновляется 3 раза в день!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Всегда иметь под рукой наиболее полную базу: </w:t>
      </w:r>
      <w:r>
        <w:rPr>
          <w:rFonts w:ascii="Arial" w:hAnsi="Arial" w:eastAsia="Arial" w:cs="Arial"/>
          <w:lang w:val="ru-RU"/>
          <w:color w:val="120D21"/>
          <w:sz w:val="18"/>
          <w:szCs w:val="18"/>
        </w:rPr>
        <w:t xml:space="preserve"> Вам доступны более 150 000 000 документов.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18"/>
          <w:szCs w:val="18"/>
          <w:b w:val="1"/>
          <w:bCs w:val="1"/>
        </w:rPr>
        <w:t xml:space="preserve"/>
      </w:r>
      <w:r>
        <w:rPr>
          <w:rFonts w:ascii="Arial" w:hAnsi="Arial" w:eastAsia="Arial" w:cs="Arial"/>
          <w:lang w:val="ru-RU"/>
          <w:color w:val="120D21"/>
          <w:sz w:val="18"/>
          <w:szCs w:val="18"/>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с системой при первой необходимости:</w:t>
      </w:r>
      <w:r>
        <w:rPr>
          <w:rFonts w:ascii="Arial" w:hAnsi="Arial" w:eastAsia="Arial" w:cs="Arial"/>
          <w:lang w:val="ru-RU"/>
          <w:color w:val="120D21"/>
          <w:sz w:val="18"/>
          <w:szCs w:val="18"/>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18"/>
          <w:szCs w:val="18"/>
        </w:rPr>
        <w:t xml:space="preserve"> с помощью сервисов «Экспресс Проверка» и «Бизнес на контроле». </w:t>
      </w:r>
      <w:br/>
      <w:r>
        <w:rPr>
          <w:rFonts w:ascii="Arial" w:hAnsi="Arial" w:eastAsia="Arial" w:cs="Arial"/>
          <w:lang w:val="ru-RU"/>
          <w:color w:val="120D21"/>
          <w:sz w:val="18"/>
          <w:szCs w:val="18"/>
        </w:rPr>
        <w:t xml:space="preserve">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Быстро и правильно</w:t>
      </w:r>
      <w:r>
        <w:rPr>
          <w:rFonts w:ascii="Arial" w:hAnsi="Arial" w:eastAsia="Arial" w:cs="Arial"/>
          <w:lang w:val="ru-RU"/>
          <w:color w:val="120D21"/>
          <w:sz w:val="18"/>
          <w:szCs w:val="18"/>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Организовать профессиональное обучение!</w:t>
      </w:r>
      <w:r>
        <w:rPr>
          <w:rFonts w:ascii="Arial" w:hAnsi="Arial" w:eastAsia="Arial" w:cs="Arial"/>
          <w:lang w:val="ru-RU"/>
          <w:color w:val="120D21"/>
          <w:sz w:val="18"/>
          <w:szCs w:val="18"/>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Оптимизировать свои расходы на информационно-правовое обеспечение</w:t>
      </w:r>
      <w:r>
        <w:rPr>
          <w:rFonts w:ascii="Arial" w:hAnsi="Arial" w:eastAsia="Arial" w:cs="Arial"/>
          <w:lang w:val="ru-RU"/>
          <w:color w:val="120D21"/>
          <w:sz w:val="18"/>
          <w:szCs w:val="18"/>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Проекты актов органов власти</w:t>
                  </w:r>
                </w:p>
                <w:p>
                  <w:pPr>
                    <w:jc w:val="start"/>
                    <w:spacing w:before="0" w:after="0" w:line="276" w:lineRule="auto"/>
                  </w:pPr>
                  <w:r>
                    <w:rPr>
                      <w:rFonts w:ascii="Arial" w:hAnsi="Arial" w:eastAsia="Arial" w:cs="Arial"/>
                      <w:lang w:val="ru-RU"/>
                      <w:color w:val="120D21"/>
                      <w:sz w:val="18"/>
                      <w:szCs w:val="18"/>
                    </w:rPr>
                    <w:t xml:space="preserve">Регионального городского суда, региональный налоговый календарь,</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Международное право</w:t>
                  </w:r>
                </w:p>
                <w:p>
                  <w:pPr>
                    <w:jc w:val="start"/>
                    <w:spacing w:before="0" w:after="0" w:line="276" w:lineRule="auto"/>
                  </w:pPr>
                  <w:r>
                    <w:rPr>
                      <w:rFonts w:ascii="Arial" w:hAnsi="Arial" w:eastAsia="Arial" w:cs="Arial"/>
                      <w:lang w:val="ru-RU"/>
                      <w:color w:val="120D21"/>
                      <w:sz w:val="18"/>
                      <w:szCs w:val="18"/>
                    </w:rPr>
                    <w:t xml:space="preserve">Присутствуют все действующие международные договоры РФ об избежании двойного налогообложения, о правовой помощи по гражданским, семейным и уголовным делам; межведомственные соглашения с участием РФ; документы европейских организаций.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jc w:val="start"/>
                    <w:spacing w:before="0" w:after="0" w:line="276" w:lineRule="auto"/>
                  </w:pPr>
                  <w:r>
                    <w:rPr>
                      <w:rFonts w:ascii="Arial" w:hAnsi="Arial" w:eastAsia="Arial" w:cs="Arial"/>
                      <w:lang w:val="ru-RU"/>
                      <w:color w:val="120D21"/>
                      <w:sz w:val="18"/>
                      <w:szCs w:val="18"/>
                    </w:rPr>
                    <w:t xml:space="preserve">Блок включает в себя как документы антимонопольной службы, которые уже были представлены в системе, так и абсолютно новые материалы, ранее не входившие в состав информационного банка.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Толковый словарь «Бизнес и право»</w:t>
                  </w:r>
                </w:p>
                <w:p>
                  <w:pPr>
                    <w:jc w:val="start"/>
                    <w:spacing w:before="0" w:after="0" w:line="276" w:lineRule="auto"/>
                  </w:pPr>
                  <w:r>
                    <w:rPr>
                      <w:rFonts w:ascii="Arial" w:hAnsi="Arial" w:eastAsia="Arial" w:cs="Arial"/>
                      <w:lang w:val="ru-RU"/>
                      <w:color w:val="120D21"/>
                      <w:sz w:val="18"/>
                      <w:szCs w:val="18"/>
                    </w:rPr>
                    <w:t xml:space="preserve">Блок будет интересен тем, кому нужно изучить незнакомую юридическую и экономическую терминологию. Особенно для предприятий, занимающихся ВЭД.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Законодательство в схемах</w:t>
                  </w:r>
                </w:p>
                <w:p>
                  <w:pPr>
                    <w:jc w:val="start"/>
                    <w:spacing w:before="0" w:after="0" w:line="276" w:lineRule="auto"/>
                  </w:pPr>
                  <w:r>
                    <w:rPr>
                      <w:rFonts w:ascii="Arial" w:hAnsi="Arial" w:eastAsia="Arial" w:cs="Arial"/>
                      <w:lang w:val="ru-RU"/>
                      <w:color w:val="120D21"/>
                      <w:sz w:val="18"/>
                      <w:szCs w:val="18"/>
                    </w:rPr>
                    <w:t xml:space="preserve">Материалы, представленные в удобной и компактной форме в виде схем и таблиц, разъясняют основные вопросы законодательства. Наглядное представление схем позволяет быстро разобраться в самых сложных вопросах Российского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ГАРАНТ-Инфарм</w:t>
                  </w:r>
                </w:p>
                <w:p>
                  <w:pPr>
                    <w:jc w:val="start"/>
                    <w:spacing w:before="0" w:after="0" w:line="276" w:lineRule="auto"/>
                  </w:pPr>
                  <w:r>
                    <w:rPr>
                      <w:rFonts w:ascii="Arial" w:hAnsi="Arial" w:eastAsia="Arial" w:cs="Arial"/>
                      <w:lang w:val="ru-RU"/>
                      <w:color w:val="120D21"/>
                      <w:sz w:val="18"/>
                      <w:szCs w:val="18"/>
                    </w:rPr>
                    <w:t xml:space="preserve">Информационный блок "ГАРАНТ-ИнФарм" в системах ГАРАНТ предназначен для решения правовых задач в сфере здравоохранения и содержит документы, регламентирующие медицинскую и фармацевтическую деятельность, стандарты и порядки оказания медицинской помощи, формы медицинской документации, справочные, методические и 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jc w:val="start"/>
                    <w:spacing w:before="0" w:after="0" w:line="276" w:lineRule="auto"/>
                  </w:pPr>
                  <w:r>
                    <w:rPr>
                      <w:rFonts w:ascii="Arial" w:hAnsi="Arial" w:eastAsia="Arial" w:cs="Arial"/>
                      <w:lang w:val="ru-RU"/>
                      <w:color w:val="120D21"/>
                      <w:sz w:val="18"/>
                      <w:szCs w:val="18"/>
                    </w:rPr>
                    <w:t xml:space="preserve">СНиП, ЕниРы, СНиР-91 Р, ГЭСН-2001, ГЭСНр-2001, ТОИ; Другие виды нормативно-технической документации – наиболее важные СП, СанПины, ГОСТы, РДС и др.</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промышленника</w:t>
                  </w:r>
                </w:p>
                <w:p>
                  <w:pPr>
                    <w:jc w:val="start"/>
                    <w:spacing w:before="0" w:after="0" w:line="276" w:lineRule="auto"/>
                  </w:pPr>
                  <w:r>
                    <w:rPr>
                      <w:rFonts w:ascii="Arial" w:hAnsi="Arial" w:eastAsia="Arial" w:cs="Arial"/>
                      <w:lang w:val="ru-RU"/>
                      <w:color w:val="120D21"/>
                      <w:sz w:val="18"/>
                      <w:szCs w:val="18"/>
                    </w:rPr>
                    <w:t xml:space="preserve">Справочник промышленника» в системах ГАРАНТ включает в себя более 99 000 документов в области технического регулирования, охраны труда, метрологического обеспечения, экологии и промышленной безопасности (ГОСТы, ПБ, РД, СанПиНы, ТОИ и другие нормативы).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охране труда</w:t>
                  </w:r>
                </w:p>
                <w:p>
                  <w:pPr>
                    <w:jc w:val="start"/>
                    <w:spacing w:before="0" w:after="0" w:line="276" w:lineRule="auto"/>
                  </w:pPr>
                  <w:r>
                    <w:rPr>
                      <w:rFonts w:ascii="Arial" w:hAnsi="Arial" w:eastAsia="Arial" w:cs="Arial"/>
                      <w:lang w:val="ru-RU"/>
                      <w:color w:val="120D21"/>
                      <w:sz w:val="18"/>
                      <w:szCs w:val="18"/>
                    </w:rPr>
                    <w:t xml:space="preserve">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jc w:val="start"/>
                    <w:spacing w:before="0" w:after="0" w:line="276" w:lineRule="auto"/>
                  </w:pPr>
                  <w:r>
                    <w:rPr>
                      <w:rFonts w:ascii="Arial" w:hAnsi="Arial" w:eastAsia="Arial" w:cs="Arial"/>
                      <w:lang w:val="ru-RU"/>
                      <w:color w:val="120D21"/>
                      <w:sz w:val="18"/>
                      <w:szCs w:val="18"/>
                    </w:rPr>
                    <w:t xml:space="preserve">в системах ГАРАНТ 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jc w:val="start"/>
                    <w:spacing w:before="0" w:after="0" w:line="276" w:lineRule="auto"/>
                  </w:pPr>
                  <w:r>
                    <w:rPr>
                      <w:rFonts w:ascii="Arial" w:hAnsi="Arial" w:eastAsia="Arial" w:cs="Arial"/>
                      <w:lang w:val="ru-RU"/>
                      <w:color w:val="120D21"/>
                      <w:sz w:val="18"/>
                      <w:szCs w:val="18"/>
                    </w:rPr>
                    <w:t xml:space="preserve">В настоящее время блок Энциклопедия решений. Бюджетная сфера: учет,
отчетность, финконтроль состоит из следующих разделов: 
1) организации
бюджетной сферы: особенности правового положения; 
2) бухгалтерский учет в
организациях бюджетной сферы; 
3) бюджетная классификация; 
4) бухгалтерская
отчетность бюджетных и автономных учреждений; 5) бюджетная отчетность казенных
учреждений и органов власти; 
6) налоги и взносы в организациях бюджетной сферы; 
7)финансовые, имущественные и правовые вопросы; 
8) проверки органами
финконтроля; 
9) годовой отчет 2023; 
10) квартальная отчетность 2023;</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0"/>
          <w:szCs w:val="20"/>
          <w:b w:val="1"/>
          <w:bCs w:val="1"/>
        </w:rPr>
        <w:t xml:space="preserve">Проекты актов органов власти</w:t>
      </w:r>
    </w:p>
    <w:p>
      <w:pPr/>
      <w:r>
        <w:rPr>
          <w:rFonts w:ascii="Arial" w:hAnsi="Arial" w:eastAsia="Arial" w:cs="Arial"/>
          <w:lang w:val="ru-RU"/>
          <w:color w:val="120D21"/>
          <w:sz w:val="18"/>
          <w:szCs w:val="18"/>
        </w:rPr>
        <w:t xml:space="preserve">Наполнение информационного блока:
проекты федеральных законов, которые готовятся к рассмотрению Государственной Думой РФ;
акты, связанные с принятием законопроекта;
постановления Государственной Думы и Совета Федерации о принятии Федеральных законов;
письма о заключениях на проекты Федеральных законов;
документы основных эмитентов о внесении законопроектов и поручения об их разработке.</w:t>
      </w:r>
    </w:p>
    <w:p/>
    <w:p>
      <w:pPr/>
      <w:r>
        <w:rPr>
          <w:rFonts w:ascii="Arial" w:hAnsi="Arial" w:eastAsia="Arial" w:cs="Arial"/>
          <w:lang w:val="ru-RU"/>
          <w:color w:val="120D21"/>
          <w:sz w:val="20"/>
          <w:szCs w:val="20"/>
          <w:b w:val="1"/>
          <w:bCs w:val="1"/>
        </w:rPr>
        <w:t xml:space="preserve">Международное право</w:t>
      </w:r>
    </w:p>
    <w:p>
      <w:pPr/>
      <w:r>
        <w:rPr>
          <w:rFonts w:ascii="Arial" w:hAnsi="Arial" w:eastAsia="Arial" w:cs="Arial"/>
          <w:lang w:val="ru-RU"/>
          <w:color w:val="120D21"/>
          <w:sz w:val="18"/>
          <w:szCs w:val="18"/>
        </w:rPr>
        <w:t xml:space="preserve">Документы, регулирующие деятельность участников внешнеэкономической деятельности по различным направлениям - экономическому, налоговому, таможенному, уголовному и другим. Международные договоры, конвенции, соглашения, а также законы об их ратификации, документы Таможенного союза, СНГ, решения ЕСПЧ и другие. Информация о государствах-участниках и статусе конкретных документов.</w:t>
      </w:r>
    </w:p>
    <w:p/>
    <w:p>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r>
        <w:rPr>
          <w:rFonts w:ascii="Arial" w:hAnsi="Arial" w:eastAsia="Arial" w:cs="Arial"/>
          <w:lang w:val="ru-RU"/>
          <w:color w:val="120D21"/>
          <w:sz w:val="18"/>
          <w:szCs w:val="18"/>
        </w:rPr>
        <w:t xml:space="preserve">Блок содержит решения Федеральной антимонопольной службы России (ФАС) и территориальных управлений ведомства (УФАС). Доступ к документам ведомства позволяет изучить и предусмотреть все возможные риски при: • участии в закупочных процедурах; • приобретении ценных бумаг и других активов; • внедрении бонусных программ; • развитии торговых отношений, представительств и партнерской сети; • размещение рекламы и пр.</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Толковый словарь «Бизнес и право»</w:t>
      </w:r>
    </w:p>
    <w:p>
      <w:pPr/>
      <w:r>
        <w:rPr>
          <w:rFonts w:ascii="Arial" w:hAnsi="Arial" w:eastAsia="Arial" w:cs="Arial"/>
          <w:lang w:val="ru-RU"/>
          <w:color w:val="120D21"/>
          <w:sz w:val="18"/>
          <w:szCs w:val="18"/>
        </w:rPr>
        <w:t xml:space="preserve">Большой толковый словарь деловой терминологии. Содержит термины и понятия из области правовых и экономических отношений с подробными их толкованиями. Для некоторых терминов приведены переводы на 5 основных языках - английском, немецком, французском, итальянском и испанском.</w:t>
      </w:r>
    </w:p>
    <w:p/>
    <w:p>
      <w:pPr/>
      <w:r>
        <w:rPr>
          <w:rFonts w:ascii="Arial" w:hAnsi="Arial" w:eastAsia="Arial" w:cs="Arial"/>
          <w:lang w:val="ru-RU"/>
          <w:color w:val="120D21"/>
          <w:sz w:val="20"/>
          <w:szCs w:val="20"/>
          <w:b w:val="1"/>
          <w:bCs w:val="1"/>
        </w:rPr>
        <w:t xml:space="preserve">Энциклопедия. Законодательство в схемах</w:t>
      </w:r>
    </w:p>
    <w:p>
      <w:pPr/>
      <w:r>
        <w:rPr>
          <w:rFonts w:ascii="Arial" w:hAnsi="Arial" w:eastAsia="Arial" w:cs="Arial"/>
          <w:lang w:val="ru-RU"/>
          <w:color w:val="120D21"/>
          <w:sz w:val="18"/>
          <w:szCs w:val="18"/>
        </w:rPr>
        <w:t xml:space="preserve">Интерактивные схемы, построенные с использованием современных флеш-технологий, помогут быстро разобраться в самых трудных правовых вопросах. Законодательство в схемах - разъяснительные материалы. Доступное и наглядное изложение, анимация, всплывающие подсказки и комментарии помогут сэкономить время и быстро понять суть разъяснений. Регулярная актуализация и пополнение.</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0"/>
          <w:szCs w:val="20"/>
          <w:b w:val="1"/>
          <w:bCs w:val="1"/>
        </w:rPr>
        <w:t xml:space="preserve">ГАРАНТ-Инфарм</w:t>
      </w:r>
    </w:p>
    <w:p>
      <w:pPr/>
      <w:r>
        <w:rPr>
          <w:rFonts w:ascii="Arial" w:hAnsi="Arial" w:eastAsia="Arial" w:cs="Arial"/>
          <w:lang w:val="ru-RU"/>
          <w:color w:val="120D21"/>
          <w:sz w:val="18"/>
          <w:szCs w:val="18"/>
        </w:rPr>
        <w:t xml:space="preserve">Объединяет перечни лекарственных средств и фармацептических субстанций,характеристики, полное описание и применения препаратов. Содержит медецинские термины, реквезиты российских изарубежных х фирм-производителей и список
выпускаемых ими препаратов. Справочник является актуальным
отображением Государственного реестра лекарственных средств и
обновляется согласно данным Минздравсоцразвития РФ. В блоке содержатся Акты органов власти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практические статьи
и комментарии ведущих экспертов по медицинскому
законодательству из тематических изданий, и экспертов службы ПК
ГАРАНТ</w:t>
      </w:r>
    </w:p>
    <w:p/>
    <w:p>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r>
        <w:rPr>
          <w:rFonts w:ascii="Arial" w:hAnsi="Arial" w:eastAsia="Arial" w:cs="Arial"/>
          <w:lang w:val="ru-RU"/>
          <w:color w:val="120D21"/>
          <w:sz w:val="18"/>
          <w:szCs w:val="18"/>
        </w:rPr>
        <w:t xml:space="preserve">В блок входит нормативно-техническая документация, используемая в строительстве:  СНиП, ЕниРы, СНиР-91 Р, ГЭСН-2001, ГЭСНр-2001, ТОИ;  Другие виды нормативно-технической документации – наиболее важные СП, СанПины, ГОСТы, РДС и др. Также блок включает Акты органов власти федерального значения в области строительства, рекомендации специалистов министерств и ведомств, судебная и арбитражная практика, международные соглашения и формы документов.</w:t>
      </w:r>
    </w:p>
    <w:p/>
    <w:p>
      <w:pPr/>
      <w:r>
        <w:rPr>
          <w:rFonts w:ascii="Arial" w:hAnsi="Arial" w:eastAsia="Arial" w:cs="Arial"/>
          <w:lang w:val="ru-RU"/>
          <w:color w:val="120D21"/>
          <w:sz w:val="20"/>
          <w:szCs w:val="20"/>
          <w:b w:val="1"/>
          <w:bCs w:val="1"/>
        </w:rPr>
        <w:t xml:space="preserve">Справочник промышленника</w:t>
      </w:r>
    </w:p>
    <w:p>
      <w:pPr/>
      <w:r>
        <w:rPr>
          <w:rFonts w:ascii="Arial" w:hAnsi="Arial" w:eastAsia="Arial" w:cs="Arial"/>
          <w:lang w:val="ru-RU"/>
          <w:color w:val="120D21"/>
          <w:sz w:val="18"/>
          <w:szCs w:val="18"/>
        </w:rPr>
        <w:t xml:space="preserve">Блок «Справочник промышленника»в системах ГАРАНТ включает в себя более 99 000 документов в области технического регулирования, охраны труда,метрологического обеспечения, экологии и промышленной безопасности (ГОСТы, ПБ, РД, СанПиНы, ТОИ и другие нормативы).Блок состоит из 5 разделов:
Раздел 1. Справочник по техническому регулированию и стандартизации;
Раздел 2. Справочник по охране труда;
Раздел 3. Справочник по метрологическому обеспечению;
Раздел 4. Справочник по экологии и охране окружающей среды;
Раздел 5. Справочник по промышленной безопасности.</w:t>
      </w:r>
    </w:p>
    <w:p/>
    <w:p>
      <w:pPr/>
      <w:r>
        <w:rPr>
          <w:rFonts w:ascii="Arial" w:hAnsi="Arial" w:eastAsia="Arial" w:cs="Arial"/>
          <w:lang w:val="ru-RU"/>
          <w:color w:val="120D21"/>
          <w:sz w:val="20"/>
          <w:szCs w:val="20"/>
          <w:b w:val="1"/>
          <w:bCs w:val="1"/>
        </w:rPr>
        <w:t xml:space="preserve">Справочник по охране труда</w:t>
      </w:r>
    </w:p>
    <w:p>
      <w:pPr/>
      <w:r>
        <w:rPr>
          <w:rFonts w:ascii="Arial" w:hAnsi="Arial" w:eastAsia="Arial" w:cs="Arial"/>
          <w:lang w:val="ru-RU"/>
          <w:color w:val="120D21"/>
          <w:sz w:val="18"/>
          <w:szCs w:val="18"/>
        </w:rPr>
        <w:t xml:space="preserve">Информационный блок «Справочник по охране труда» в системах ГАРАНТ призван помочь разобраться в том, как соблюсти правила охраны труда. 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предприятии.В частности, в Справочнике собраны документы по темам: Организация работы по охране труда в организации, принципы нормирования опасных и вредных производственных факторов и меры защиты от их воздействия, требования безопасности к производственным процессам, оборудованию и отдельным видам работ, обеспечение пожарной безопасности в организации, Внедрение и обеспечение функционирования системы управления охраной труда (СУОТ)</w:t>
      </w:r>
    </w:p>
    <w:p/>
    <w:p>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r>
        <w:rPr>
          <w:rFonts w:ascii="Arial" w:hAnsi="Arial" w:eastAsia="Arial" w:cs="Arial"/>
          <w:lang w:val="ru-RU"/>
          <w:color w:val="120D21"/>
          <w:sz w:val="18"/>
          <w:szCs w:val="18"/>
        </w:rPr>
        <w:t xml:space="preserve">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стандартизации.Работая  с нормативно-техническими документами (НТД) и остальными документами (правовыми актами, аналитикой, судебной практикой и т.п.) в едином информационном пространстве, вы можете изучить тексты ГОСТов, изменения и поправки к ним, ознакомиться со схемами преемственности для предшествующих и вновь принятых норм и стандартов с возможностью перехода к каждому документу и к актуальному на сегодняшний день нормативу, проследить юридические связи документов с нормативными актами, узнать о судебной практике применения стандартов и обратиться к консультационным материалам по теме. Документы, которые содержат множество рисунков, формул, схем и чертежей, для точности представлены в формате отсканированных копий с возможностью поиска по графическим копиям с точностью до слова и с учетом морфологии.</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r>
        <w:rPr>
          <w:rFonts w:ascii="Arial" w:hAnsi="Arial" w:eastAsia="Arial" w:cs="Arial"/>
          <w:lang w:val="ru-RU"/>
          <w:color w:val="120D21"/>
          <w:sz w:val="18"/>
          <w:szCs w:val="18"/>
        </w:rPr>
        <w:t xml:space="preserve">В блоке "Энциклопедия решений. Госсектор: учет, отчетность, финконтроль" представлены аналитические материалы, предлагающие практические рекомендации по решению наиболее значимых и актуальных задач, стоящих в настоящее время перед специалистами организаций государственного сектора.
Правовые позиции финансовых органов, органов казначейства, главных распорядителей (распорядителей) бюджетных средств (учредителей) и контролирующих органов по вопросам применения действующего законодательства (в том числе бюджетного) могут существенно отличаться. В подобных условиях очень важно, чтобы вы имели возможность сформировать собственную правовую позицию по конкретному вопросу, учитывая все риски, существующие на момент принятия определенного решения. Оценить риски помогут соответствующие материалы, содержащиеся в Энциклопедии.
Материалы блока тесно увязаны с интерактивными путеводителями по бюджетному учету в казенных учреждениях и органах власти, по бухгалтерскому учету в бюджетных учреждениях и по бухгалтерскому учету в автономных учреждениях. В Путеводителях в наглядном, систематизированном виде представлена дополнительная информация, которая может понадобиться бухгалтеру.
Блок "Энциклопедия решений. Госсектор: учет, отчетность, финконтроль" включает в себя следующие материалы:
Правовые и финансовые аспекты деятельности организаций госсектора
Договоры и иные сделки в госучреждениях
Бухгалтерский учет в госучреждениях
Бухгалтерская отчетность бюджетных и автономных учреждений
Бюджетная классификация Российской Федерации
Налоги и взносы в госучреждениях
Финансовый контроль.</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Южный филиал АО "Райффайзенбанк"</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6"/>
                      <w:szCs w:val="16"/>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Cч.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КПП</w:t>
                  </w:r>
                </w:p>
              </w:tc>
              <w:tc>
                <w:tcPr>
                  <w:tcW w:w="3775.2" w:type="dxa"/>
                </w:tcP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6"/>
                      <w:szCs w:val="16"/>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6"/>
                      <w:szCs w:val="16"/>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r>
    </w:tbl>
    <w:p/>
    <w:p/>
    <w:p/>
    <w:p>
      <w:pPr>
        <w:jc w:val="center"/>
        <w:spacing w:before="100" w:after="1" w:line="240" w:lineRule="auto"/>
      </w:pPr>
      <w:r>
        <w:rPr>
          <w:rFonts w:ascii="Arial" w:hAnsi="Arial" w:eastAsia="Arial" w:cs="Arial"/>
          <w:lang w:val="ru-RU"/>
          <w:color w:val="120D21"/>
          <w:sz w:val="28"/>
          <w:szCs w:val="28"/>
          <w:b w:val="1"/>
          <w:bCs w:val="1"/>
        </w:rPr>
        <w:t xml:space="preserve">Счет на оплату N 134224</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40219.2</w:t>
                  </w:r>
                </w:p>
              </w:tc>
            </w:tr>
          </w:tbl>
          <w:p/>
        </w:tc>
      </w:tr>
    </w:tbl>
    <w:p/>
    <w:p>
      <w:pPr>
        <w:jc w:val="end"/>
        <w:spacing w:before="100" w:after="1" w:line="24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Сорок тысяч двести девятнадцать рублей двадцать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6"/>
                    <w:szCs w:val="16"/>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2024-02-12T08:08:36+00:00</dcterms:created>
  <dcterms:modified xsi:type="dcterms:W3CDTF">2024-02-12T08:08:36+00:00</dcterms:modified>
</cp:coreProperties>
</file>

<file path=docProps/custom.xml><?xml version="1.0" encoding="utf-8"?>
<Properties xmlns="http://schemas.openxmlformats.org/officeDocument/2006/custom-properties" xmlns:vt="http://schemas.openxmlformats.org/officeDocument/2006/docPropsVTypes"/>
</file>