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6"/>
                <w:szCs w:val="16"/>
              </w:rPr>
              <w:t xml:space="preserve">Исх. № КП-1386-24</w:t>
            </w:r>
          </w:p>
        </w:tc>
        <w:tc>
          <w:tcPr>
            <w:tcW w:w="10800" w:type="dxa"/>
          </w:tcPr>
          <w:p>
            <w:pPr>
              <w:jc w:val="end"/>
              <w:spacing w:before="0" w:after="0" w:line="240" w:lineRule="auto"/>
            </w:pPr>
            <w:r>
              <w:rPr>
                <w:rFonts w:ascii="Arial" w:hAnsi="Arial" w:eastAsia="Arial" w:cs="Arial"/>
                <w:lang w:val="ru-RU"/>
                <w:color w:val="120D21"/>
                <w:sz w:val="16"/>
                <w:szCs w:val="16"/>
              </w:rPr>
              <w:t xml:space="preserve">Тест-ИП</w:t>
            </w:r>
          </w:p>
          <w:p>
            <w:pPr>
              <w:jc w:val="end"/>
              <w:spacing w:before="0" w:after="0" w:line="240" w:lineRule="auto"/>
            </w:pPr>
            <w:r>
              <w:rPr>
                <w:rFonts w:ascii="Arial" w:hAnsi="Arial" w:eastAsia="Arial" w:cs="Arial"/>
                <w:lang w:val="ru-RU"/>
                <w:color w:val="120D21"/>
                <w:sz w:val="16"/>
                <w:szCs w:val="16"/>
              </w:rPr>
              <w:t xml:space="preserve">ИНН: 345234788987</w:t>
            </w:r>
          </w:p>
        </w:tc>
      </w:tr>
    </w:tbl>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18"/>
          <w:szCs w:val="18"/>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18"/>
          <w:szCs w:val="18"/>
        </w:rPr>
        <w:t xml:space="preserve">С системой ГАРАНТ Вы сможете: </w:t>
      </w:r>
      <w:b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Решить любую задачу с полной информационной и правовой поддержкой:</w:t>
      </w:r>
      <w:r>
        <w:rPr>
          <w:rFonts w:ascii="Arial" w:hAnsi="Arial" w:eastAsia="Arial" w:cs="Arial"/>
          <w:lang w:val="ru-RU"/>
          <w:color w:val="120D21"/>
          <w:sz w:val="18"/>
          <w:szCs w:val="18"/>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Пользоваться качественным сервисным обслуживанием:</w:t>
      </w:r>
      <w:r>
        <w:rPr>
          <w:rFonts w:ascii="Arial" w:hAnsi="Arial" w:eastAsia="Arial" w:cs="Arial"/>
          <w:lang w:val="ru-RU"/>
          <w:color w:val="120D21"/>
          <w:sz w:val="18"/>
          <w:szCs w:val="18"/>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Работать только с актуальной правовой информацией:</w:t>
      </w:r>
      <w:r>
        <w:rPr>
          <w:rFonts w:ascii="Arial" w:hAnsi="Arial" w:eastAsia="Arial" w:cs="Arial"/>
          <w:lang w:val="ru-RU"/>
          <w:color w:val="120D21"/>
          <w:sz w:val="18"/>
          <w:szCs w:val="18"/>
        </w:rPr>
        <w:t xml:space="preserve">  комплект обновляется 3 раза в день!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Всегда иметь под рукой наиболее полную базу: </w:t>
      </w:r>
      <w:r>
        <w:rPr>
          <w:rFonts w:ascii="Arial" w:hAnsi="Arial" w:eastAsia="Arial" w:cs="Arial"/>
          <w:lang w:val="ru-RU"/>
          <w:color w:val="120D21"/>
          <w:sz w:val="18"/>
          <w:szCs w:val="18"/>
        </w:rPr>
        <w:t xml:space="preserve"> Вам доступны более 150 000 000 документов.  </w:t>
      </w:r>
      <w:b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18"/>
          <w:szCs w:val="18"/>
          <w:b w:val="1"/>
          <w:bCs w:val="1"/>
        </w:rPr>
        <w:t xml:space="preserve"/>
      </w:r>
      <w:r>
        <w:rPr>
          <w:rFonts w:ascii="Arial" w:hAnsi="Arial" w:eastAsia="Arial" w:cs="Arial"/>
          <w:lang w:val="ru-RU"/>
          <w:color w:val="120D21"/>
          <w:sz w:val="18"/>
          <w:szCs w:val="18"/>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Работать с системой при первой необходимости:</w:t>
      </w:r>
      <w:r>
        <w:rPr>
          <w:rFonts w:ascii="Arial" w:hAnsi="Arial" w:eastAsia="Arial" w:cs="Arial"/>
          <w:lang w:val="ru-RU"/>
          <w:color w:val="120D21"/>
          <w:sz w:val="18"/>
          <w:szCs w:val="18"/>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18"/>
          <w:szCs w:val="18"/>
        </w:rPr>
        <w:t xml:space="preserve"> с помощью сервисов «Экспресс Проверка» и «Бизнес на контроле». </w:t>
      </w:r>
      <w:br/>
      <w:r>
        <w:rPr>
          <w:rFonts w:ascii="Arial" w:hAnsi="Arial" w:eastAsia="Arial" w:cs="Arial"/>
          <w:lang w:val="ru-RU"/>
          <w:color w:val="120D21"/>
          <w:sz w:val="18"/>
          <w:szCs w:val="18"/>
        </w:rPr>
        <w:t xml:space="preserve">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Быстро и правильно</w:t>
      </w:r>
      <w:r>
        <w:rPr>
          <w:rFonts w:ascii="Arial" w:hAnsi="Arial" w:eastAsia="Arial" w:cs="Arial"/>
          <w:lang w:val="ru-RU"/>
          <w:color w:val="120D21"/>
          <w:sz w:val="18"/>
          <w:szCs w:val="18"/>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Организовать профессиональное обучение!</w:t>
      </w:r>
      <w:r>
        <w:rPr>
          <w:rFonts w:ascii="Arial" w:hAnsi="Arial" w:eastAsia="Arial" w:cs="Arial"/>
          <w:lang w:val="ru-RU"/>
          <w:color w:val="120D21"/>
          <w:sz w:val="18"/>
          <w:szCs w:val="18"/>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Оптимизировать свои расходы на информационно-правовое обеспечение</w:t>
      </w:r>
      <w:r>
        <w:rPr>
          <w:rFonts w:ascii="Arial" w:hAnsi="Arial" w:eastAsia="Arial" w:cs="Arial"/>
          <w:lang w:val="ru-RU"/>
          <w:color w:val="120D21"/>
          <w:sz w:val="18"/>
          <w:szCs w:val="18"/>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star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star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star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star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star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star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star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star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star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star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star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star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star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ПРАЙМ</w:t>
                  </w:r>
                </w:p>
                <w:p>
                  <w:pPr>
                    <w:jc w:val="star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Архивы ГАРАНТа</w:t>
                  </w:r>
                </w:p>
                <w:p>
                  <w:pPr>
                    <w:jc w:val="star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star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star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star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star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star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star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star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Горячая
линия</w:t>
                  </w:r>
                </w:p>
                <w:p>
                  <w:pPr>
                    <w:jc w:val="star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Гарант-Юрист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7280</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7280</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Южный филиал АО "Райффайзенбанк"</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6"/>
                      <w:szCs w:val="16"/>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Cч.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6"/>
                      <w:szCs w:val="16"/>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6"/>
                      <w:szCs w:val="16"/>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6"/>
                      <w:szCs w:val="16"/>
                    </w:rPr>
                    <w:t xml:space="preserve">КПП</w:t>
                  </w:r>
                </w:p>
              </w:tc>
              <w:tc>
                <w:tcPr>
                  <w:tcW w:w="3775.2" w:type="dxa"/>
                </w:tcP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6"/>
                      <w:szCs w:val="16"/>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6"/>
                      <w:szCs w:val="16"/>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bl>
          <w:p/>
        </w:tc>
      </w:tr>
    </w:tbl>
    <w:p/>
    <w:p/>
    <w:p/>
    <w:p>
      <w:pPr>
        <w:jc w:val="center"/>
        <w:spacing w:before="100" w:after="1" w:line="240" w:lineRule="auto"/>
      </w:pPr>
      <w:r>
        <w:rPr>
          <w:rFonts w:ascii="Arial" w:hAnsi="Arial" w:eastAsia="Arial" w:cs="Arial"/>
          <w:lang w:val="ru-RU"/>
          <w:color w:val="120D21"/>
          <w:sz w:val="28"/>
          <w:szCs w:val="28"/>
          <w:b w:val="1"/>
          <w:bCs w:val="1"/>
        </w:rPr>
        <w:t xml:space="preserve">Счет на оплату N 138624</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Тест-ИП</w:t>
                  </w:r>
                  <w:r>
                    <w:rPr>
                      <w:rFonts w:ascii="Arial" w:hAnsi="Arial" w:eastAsia="Arial" w:cs="Arial"/>
                      <w:lang w:val="ru-RU"/>
                      <w:color w:val="120D21"/>
                      <w:sz w:val="18"/>
                      <w:szCs w:val="18"/>
                    </w:rPr>
                    <w:t xml:space="preserve">, ИНН 345234788987</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Гарант-Юрист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7280</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7280</w:t>
                  </w:r>
                </w:p>
              </w:tc>
            </w:tr>
          </w:tbl>
          <w:p/>
        </w:tc>
      </w:tr>
    </w:tbl>
    <w:p/>
    <w:p>
      <w:pPr>
        <w:jc w:val="end"/>
        <w:spacing w:before="100" w:after="1" w:line="24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двести восемьдесят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
            </w:r>
          </w:p>
        </w:tc>
      </w:tr>
    </w:tbl>
    <w:sectPr>
      <w:headerReference w:type="default" r:id="rId9"/>
      <w:footerReference w:type="default" r:id="rId10"/>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tblGrid>
    <w:tr>
      <w:trPr/>
      <w:tc>
        <w:tcPr>
          <w:tcW w:w="4896" w:type="dxa"/>
        </w:tcPr>
        <w:p>
          <w:pPr>
            <w:spacing w:before="0" w:after="0" w:line="240" w:lineRule="auto"/>
          </w:pPr>
          <w:r>
            <w:rPr>
              <w:rFonts w:ascii="Arial" w:hAnsi="Arial" w:eastAsia="Arial" w:cs="Arial"/>
              <w:lang w:val="ru-RU"/>
              <w:color w:val="120D21"/>
              <w:sz w:val="16"/>
              <w:szCs w:val="16"/>
            </w:rPr>
            <w:t xml:space="preserve">Ваш персональный менеджер</w:t>
          </w:r>
        </w:p>
        <w:p>
          <w:pPr>
            <w:spacing w:before="0" w:after="0" w:line="240" w:lineRule="auto"/>
          </w:pPr>
          <w:r>
            <w:rPr>
              <w:rFonts w:ascii="Arial" w:hAnsi="Arial" w:eastAsia="Arial" w:cs="Arial"/>
              <w:lang w:val="ru-RU"/>
              <w:color w:val="120D21"/>
              <w:sz w:val="16"/>
              <w:szCs w:val="16"/>
            </w:rPr>
            <w:t xml:space="preserve">Вадим Савчук</w:t>
          </w:r>
        </w:p>
        <w:p>
          <w:pPr>
            <w:spacing w:before="0" w:after="0" w:line="240" w:lineRule="auto"/>
          </w:pPr>
          <w:r>
            <w:rPr>
              <w:rFonts w:ascii="Arial" w:hAnsi="Arial" w:eastAsia="Arial" w:cs="Arial"/>
              <w:lang w:val="ru-RU"/>
              <w:color w:val="120D21"/>
              <w:sz w:val="16"/>
              <w:szCs w:val="16"/>
            </w:rPr>
            <w:t xml:space="preserve">e-mail: savchuckvadim@gmail.com</w:t>
          </w:r>
        </w:p>
        <w:p>
          <w:pPr>
            <w:spacing w:before="0" w:after="0" w:line="240" w:lineRule="auto"/>
          </w:pPr>
          <w:r>
            <w:rPr>
              <w:rFonts w:ascii="Arial" w:hAnsi="Arial" w:eastAsia="Arial" w:cs="Arial"/>
              <w:lang w:val="ru-RU"/>
              <w:color w:val="120D21"/>
              <w:sz w:val="16"/>
              <w:szCs w:val="16"/>
            </w:rPr>
            <w:t xml:space="preserve">телелефон: +79620027991</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6"/>
                    <w:szCs w:val="16"/>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6"/>
                    <w:szCs w:val="16"/>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2024-02-12T10:45:57+00:00</dcterms:created>
  <dcterms:modified xsi:type="dcterms:W3CDTF">2024-02-12T10:45:57+00:00</dcterms:modified>
</cp:coreProperties>
</file>

<file path=docProps/custom.xml><?xml version="1.0" encoding="utf-8"?>
<Properties xmlns="http://schemas.openxmlformats.org/officeDocument/2006/custom-properties" xmlns:vt="http://schemas.openxmlformats.org/officeDocument/2006/docPropsVTypes"/>
</file>