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0800" w:type="dxa"/>
        <w:gridCol w:w="10800" w:type="dxa"/>
      </w:tblGrid>
      <w:tr>
        <w:trPr/>
        <w:tc>
          <w:tcPr>
            <w:tcW w:w="10800" w:type="dxa"/>
          </w:tcPr>
          <w:p>
            <w:pPr>
              <w:jc w:val="left"/>
              <w:spacing w:line="240" w:lineRule="auto"/>
            </w:pPr>
            <w:r>
              <w:rPr>
                <w:rFonts w:ascii="Arial" w:hAnsi="Arial" w:eastAsia="Arial" w:cs="Arial"/>
                <w:lang w:val="ru-RU"/>
                <w:color w:val="120D21"/>
                <w:sz w:val="16"/>
                <w:szCs w:val="16"/>
              </w:rPr>
              <w:t xml:space="preserve">Исх. № КП-1518-24</w:t>
            </w:r>
          </w:p>
        </w:tc>
        <w:tc>
          <w:tcPr>
            <w:tcW w:w="10800" w:type="dxa"/>
          </w:tcPr>
          <w:p>
            <w:pPr>
              <w:jc w:val="end"/>
              <w:spacing w:before="0" w:after="0" w:line="240" w:lineRule="auto"/>
            </w:pPr>
            <w:r>
              <w:rPr>
                <w:rFonts w:ascii="Arial" w:hAnsi="Arial" w:eastAsia="Arial" w:cs="Arial"/>
                <w:lang w:val="ru-RU"/>
                <w:color w:val="120D21"/>
                <w:sz w:val="16"/>
                <w:szCs w:val="16"/>
              </w:rPr>
              <w:t xml:space="preserve">Частное образовательное учреждение  дополнительного профессионального образования  «Северо-Кавказский институт дополнительного образования»</w:t>
            </w:r>
          </w:p>
          <w:p>
            <w:pPr>
              <w:jc w:val="end"/>
              <w:spacing w:before="0" w:after="0" w:line="240" w:lineRule="auto"/>
            </w:pPr>
            <w:r>
              <w:rPr>
                <w:rFonts w:ascii="Arial" w:hAnsi="Arial" w:eastAsia="Arial" w:cs="Arial"/>
                <w:lang w:val="ru-RU"/>
                <w:color w:val="120D21"/>
                <w:sz w:val="16"/>
                <w:szCs w:val="16"/>
              </w:rPr>
              <w:t xml:space="preserve">ИНН: 2634093256</w:t>
            </w:r>
          </w:p>
          <w:p>
            <w:pPr>
              <w:jc w:val="end"/>
              <w:spacing w:before="0" w:after="0" w:line="240" w:lineRule="auto"/>
            </w:pPr>
            <w:r>
              <w:rPr>
                <w:rFonts w:ascii="Arial" w:hAnsi="Arial" w:eastAsia="Arial" w:cs="Arial"/>
                <w:lang w:val="ru-RU"/>
                <w:color w:val="120D21"/>
                <w:sz w:val="16"/>
                <w:szCs w:val="16"/>
              </w:rPr>
              <w:t xml:space="preserve">Директору</w:t>
            </w:r>
          </w:p>
          <w:p>
            <w:pPr>
              <w:jc w:val="end"/>
              <w:spacing w:before="0" w:after="0" w:line="240" w:lineRule="auto"/>
            </w:pPr>
            <w:r>
              <w:rPr>
                <w:rFonts w:ascii="Arial" w:hAnsi="Arial" w:eastAsia="Arial" w:cs="Arial"/>
                <w:lang w:val="ru-RU"/>
                <w:color w:val="120D21"/>
                <w:sz w:val="16"/>
                <w:szCs w:val="16"/>
              </w:rPr>
              <w:t xml:space="preserve">Даниилу Геннадиевичу</w:t>
            </w:r>
          </w:p>
        </w:tc>
      </w:tr>
    </w:tbl>
    <w:p>
      <w:pPr>
        <w:jc w:val="center"/>
      </w:pPr>
      <w:r>
        <w:rPr>
          <w:rFonts w:ascii="Arial" w:hAnsi="Arial" w:eastAsia="Arial" w:cs="Arial"/>
          <w:lang w:val="ru-RU"/>
          <w:color w:val="120D21"/>
          <w:sz w:val="24"/>
          <w:szCs w:val="24"/>
          <w:b w:val="1"/>
          <w:bCs w:val="1"/>
        </w:rPr>
        <w:t xml:space="preserve">Даниил Геннадиевич</w:t>
      </w:r>
    </w:p>
    <w:p>
      <w:pPr/>
      <w:r>
        <w:rPr>
          <w:rFonts w:ascii="Arial" w:hAnsi="Arial" w:eastAsia="Arial" w:cs="Arial"/>
          <w:lang w:val="ru-RU"/>
          <w:color w:val="120D21"/>
          <w:sz w:val="18"/>
          <w:szCs w:val="18"/>
        </w:rPr>
        <w:t xml:space="preserve">В честь 30-летия компании мы предоставляем уникальную возможность воспользоваться передовыми технологиями в работе с правовой информацией по доступной цене. </w:t>
      </w:r>
      <w:br/>
      <w:r>
        <w:rPr>
          <w:rFonts w:ascii="Arial" w:hAnsi="Arial" w:eastAsia="Arial" w:cs="Arial"/>
          <w:lang w:val="ru-RU"/>
          <w:color w:val="120D21"/>
          <w:sz w:val="18"/>
          <w:szCs w:val="18"/>
        </w:rPr>
        <w:t xml:space="preserve">С системой ГАРАНТ Вы сможете: </w:t>
      </w:r>
      <w:br/>
      <w:r>
        <w:rPr>
          <w:rFonts w:ascii="Arial" w:hAnsi="Arial" w:eastAsia="Arial" w:cs="Arial"/>
          <w:lang w:val="ru-RU"/>
          <w:color w:val="120D21"/>
          <w:sz w:val="18"/>
          <w:szCs w:val="18"/>
        </w:rPr>
        <w:t xml:space="preserve"/>
      </w: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Решить любую задачу с полной информационной и правовой поддержкой:</w:t>
      </w:r>
      <w:r>
        <w:rPr>
          <w:rFonts w:ascii="Arial" w:hAnsi="Arial" w:eastAsia="Arial" w:cs="Arial"/>
          <w:lang w:val="ru-RU"/>
          <w:color w:val="120D21"/>
          <w:sz w:val="18"/>
          <w:szCs w:val="18"/>
        </w:rPr>
        <w:t xml:space="preserve"> нормативные акты федерального и регионального уровня; профессиональная аналитика; практические рекомендации; более 120 000 готовых экспертных заключений; библиотеки, судебная практика, профессиональные СМИ.  </w:t>
      </w:r>
      <w:b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Получать индивидуальные заключения по Вашим вопросам от экспертов федерального уровня! </w:t>
      </w:r>
      <w:r>
        <w:rPr>
          <w:rFonts w:ascii="Arial" w:hAnsi="Arial" w:eastAsia="Arial" w:cs="Arial"/>
          <w:lang w:val="ru-RU"/>
          <w:color w:val="120D21"/>
          <w:sz w:val="18"/>
          <w:szCs w:val="18"/>
        </w:rPr>
        <w:t xml:space="preserve"/>
      </w:r>
      <w:r>
        <w:rPr>
          <w:rFonts w:ascii="Arial" w:hAnsi="Arial" w:eastAsia="Arial" w:cs="Arial"/>
          <w:lang w:val="ru-RU"/>
          <w:color w:val="120D21"/>
          <w:sz w:val="18"/>
          <w:szCs w:val="18"/>
        </w:rPr>
        <w:t xml:space="preserve"/>
      </w: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Пользоваться качественным сервисным обслуживанием:</w:t>
      </w:r>
      <w:r>
        <w:rPr>
          <w:rFonts w:ascii="Arial" w:hAnsi="Arial" w:eastAsia="Arial" w:cs="Arial"/>
          <w:lang w:val="ru-RU"/>
          <w:color w:val="120D21"/>
          <w:sz w:val="18"/>
          <w:szCs w:val="18"/>
        </w:rPr>
        <w:t xml:space="preserve">  возможность обращаться на Горячую линию правовой поддержки, обучение работе с системой, техническая поддержка. </w:t>
      </w:r>
      <w:b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Работать только с актуальной правовой информацией:</w:t>
      </w:r>
      <w:r>
        <w:rPr>
          <w:rFonts w:ascii="Arial" w:hAnsi="Arial" w:eastAsia="Arial" w:cs="Arial"/>
          <w:lang w:val="ru-RU"/>
          <w:color w:val="120D21"/>
          <w:sz w:val="18"/>
          <w:szCs w:val="18"/>
        </w:rPr>
        <w:t xml:space="preserve">  комплект обновляется 3 раза в день! </w:t>
      </w:r>
      <w:b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Всегда иметь под рукой наиболее полную базу: </w:t>
      </w:r>
      <w:r>
        <w:rPr>
          <w:rFonts w:ascii="Arial" w:hAnsi="Arial" w:eastAsia="Arial" w:cs="Arial"/>
          <w:lang w:val="ru-RU"/>
          <w:color w:val="120D21"/>
          <w:sz w:val="18"/>
          <w:szCs w:val="18"/>
        </w:rPr>
        <w:t xml:space="preserve"> Вам доступны более 150 000 000 документов.  </w:t>
      </w:r>
      <w:br/>
      <w:r>
        <w:rPr>
          <w:rFonts w:ascii="Arial" w:hAnsi="Arial" w:eastAsia="Arial" w:cs="Arial"/>
          <w:lang w:val="ru-RU"/>
          <w:color w:val="120D21"/>
          <w:sz w:val="18"/>
          <w:szCs w:val="18"/>
        </w:rPr>
        <w:t xml:space="preserve"/>
      </w: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  </w:t>
      </w:r>
      <w:br/>
      <w:r>
        <w:rPr>
          <w:rFonts w:ascii="Arial" w:hAnsi="Arial" w:eastAsia="Arial" w:cs="Arial"/>
          <w:lang w:val="ru-RU"/>
          <w:color w:val="005fa8"/>
          <w:sz w:val="18"/>
          <w:szCs w:val="18"/>
          <w:b w:val="1"/>
          <w:bCs w:val="1"/>
        </w:rPr>
        <w:t xml:space="preserve"/>
      </w:r>
      <w:r>
        <w:rPr>
          <w:rFonts w:ascii="Arial" w:hAnsi="Arial" w:eastAsia="Arial" w:cs="Arial"/>
          <w:lang w:val="ru-RU"/>
          <w:color w:val="120D21"/>
          <w:sz w:val="18"/>
          <w:szCs w:val="18"/>
        </w:rPr>
        <w:t xml:space="preserve">Все самое важное и необходимое для работы будет всегда под рукой! Благодаря 9 настраиваемым профессиональным страницам, каждый специалист Вашей организации сможет быстро ориентироваться в правовом поле, легко работать с большим объемом информации.  </w:t>
      </w:r>
      <w:br/>
      <w:r>
        <w:rPr>
          <w:rFonts w:ascii="Arial" w:hAnsi="Arial" w:eastAsia="Arial" w:cs="Arial"/>
          <w:lang w:val="ru-RU"/>
          <w:color w:val="120D21"/>
          <w:sz w:val="18"/>
          <w:szCs w:val="18"/>
        </w:rPr>
        <w:t xml:space="preserve"/>
      </w: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Работать с системой при первой необходимости:</w:t>
      </w:r>
      <w:r>
        <w:rPr>
          <w:rFonts w:ascii="Arial" w:hAnsi="Arial" w:eastAsia="Arial" w:cs="Arial"/>
          <w:lang w:val="ru-RU"/>
          <w:color w:val="120D21"/>
          <w:sz w:val="18"/>
          <w:szCs w:val="18"/>
        </w:rPr>
        <w:t xml:space="preserve"> в любое время и в любом месте – на работе, в командировке, на заседании суда, дома.  </w:t>
      </w:r>
      <w:b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Получить полную информацию о контрагенте, а также защитить свои активы</w:t>
      </w:r>
      <w:r>
        <w:rPr>
          <w:rFonts w:ascii="Arial" w:hAnsi="Arial" w:eastAsia="Arial" w:cs="Arial"/>
          <w:lang w:val="ru-RU"/>
          <w:color w:val="120D21"/>
          <w:sz w:val="18"/>
          <w:szCs w:val="18"/>
        </w:rPr>
        <w:t xml:space="preserve"> с помощью сервисов «Экспресс Проверка» и «Бизнес на контроле». </w:t>
      </w:r>
      <w:br/>
      <w:r>
        <w:rPr>
          <w:rFonts w:ascii="Arial" w:hAnsi="Arial" w:eastAsia="Arial" w:cs="Arial"/>
          <w:lang w:val="ru-RU"/>
          <w:color w:val="120D21"/>
          <w:sz w:val="18"/>
          <w:szCs w:val="18"/>
        </w:rPr>
        <w:t xml:space="preserve"> </w:t>
      </w:r>
      <w:b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Быстро и правильно</w:t>
      </w:r>
      <w:r>
        <w:rPr>
          <w:rFonts w:ascii="Arial" w:hAnsi="Arial" w:eastAsia="Arial" w:cs="Arial"/>
          <w:lang w:val="ru-RU"/>
          <w:color w:val="120D21"/>
          <w:sz w:val="18"/>
          <w:szCs w:val="18"/>
        </w:rPr>
        <w:t xml:space="preserve"> создать учетную политику организации, подготовить договор или доверенность, написать претензию или исковое заявление с конструктором учетной политики и правовых документов.  </w:t>
      </w:r>
      <w:b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Организовать профессиональное обучение!</w:t>
      </w:r>
      <w:r>
        <w:rPr>
          <w:rFonts w:ascii="Arial" w:hAnsi="Arial" w:eastAsia="Arial" w:cs="Arial"/>
          <w:lang w:val="ru-RU"/>
          <w:color w:val="120D21"/>
          <w:sz w:val="18"/>
          <w:szCs w:val="18"/>
        </w:rPr>
        <w:t xml:space="preserve"> Повышайте свою квалификацию и узнавайте мнение экспертов по актуальным правовым вопросам и изменениям в законодательстве.  </w:t>
      </w:r>
      <w:br/>
      <w:r>
        <w:rPr>
          <w:rFonts w:ascii="Arial" w:hAnsi="Arial" w:eastAsia="Arial" w:cs="Arial"/>
          <w:lang w:val="ru-RU"/>
          <w:color w:val="120D21"/>
          <w:sz w:val="18"/>
          <w:szCs w:val="18"/>
        </w:rPr>
        <w:t xml:space="preserve"/>
      </w:r>
      <w:r>
        <w:rPr>
          <w:rFonts w:ascii="Arial" w:hAnsi="Arial" w:eastAsia="Arial" w:cs="Arial"/>
          <w:lang w:val="ru-RU"/>
          <w:color w:val="005fa8"/>
          <w:sz w:val="18"/>
          <w:szCs w:val="18"/>
          <w:b w:val="1"/>
          <w:bCs w:val="1"/>
        </w:rPr>
        <w:t xml:space="preserve">Оптимизировать свои расходы на информационно-правовое обеспечение</w:t>
      </w:r>
      <w:r>
        <w:rPr>
          <w:rFonts w:ascii="Arial" w:hAnsi="Arial" w:eastAsia="Arial" w:cs="Arial"/>
          <w:lang w:val="ru-RU"/>
          <w:color w:val="120D21"/>
          <w:sz w:val="18"/>
          <w:szCs w:val="18"/>
        </w:rPr>
        <w:t xml:space="preserve"> благодаря нашей гибкой ценовой политике и специальным условиям!</w:t>
      </w:r>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28"/>
          <w:szCs w:val="28"/>
          <w:b w:val="1"/>
          <w:bCs w:val="1"/>
        </w:rPr>
        <w:t xml:space="preserve">Информационное наполнение</w:t>
      </w:r>
    </w:p>
    <w:tbl>
      <w:tblGrid>
        <w:gridCol w:w="10700" w:type="dxa"/>
      </w:tblGrid>
      <w:tblPr>
        <w:tblStyle w:val="TableStyle"/>
      </w:tblP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240" w:lineRule="auto"/>
                  </w:pPr>
                  <w:r>
                    <w:rPr>
                      <w:rFonts w:ascii="Arial" w:hAnsi="Arial" w:eastAsia="Arial" w:cs="Arial"/>
                      <w:lang w:val="ru-RU"/>
                      <w:color w:val="120D21"/>
                      <w:sz w:val="20"/>
                      <w:szCs w:val="20"/>
                      <w:b w:val="1"/>
                      <w:bCs w:val="1"/>
                    </w:rPr>
                    <w:t xml:space="preserve">Нормативно-правовые акты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Законодательство России</w:t>
                  </w:r>
                </w:p>
                <w:p>
                  <w:pPr>
                    <w:jc w:val="start"/>
                    <w:spacing w:before="0" w:after="0" w:line="276" w:lineRule="auto"/>
                  </w:pPr>
                  <w:r>
                    <w:rPr>
                      <w:rFonts w:ascii="Arial" w:hAnsi="Arial" w:eastAsia="Arial" w:cs="Arial"/>
                      <w:lang w:val="ru-RU"/>
                      <w:color w:val="120D21"/>
                      <w:sz w:val="18"/>
                      <w:szCs w:val="18"/>
                    </w:rPr>
                    <w:t xml:space="preserve">Информационное ядро системы – документы, регулирующие вопросы федерального ведения и совместного ведения РФ и субъектов РФ.  В состав этого блока входят нормативно-правовые документы, необходимые всем пользователям как первоисточник для ведения любого вида деятельности.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Региональное законодательство</w:t>
                  </w:r>
                </w:p>
                <w:p>
                  <w:pPr>
                    <w:jc w:val="start"/>
                    <w:spacing w:before="0" w:after="0" w:line="276" w:lineRule="auto"/>
                  </w:pPr>
                  <w:r>
                    <w:rPr>
                      <w:rFonts w:ascii="Arial" w:hAnsi="Arial" w:eastAsia="Arial" w:cs="Arial"/>
                      <w:lang w:val="ru-RU"/>
                      <w:color w:val="120D21"/>
                      <w:sz w:val="18"/>
                      <w:szCs w:val="18"/>
                    </w:rPr>
                    <w:t xml:space="preserve">Документы органов власти регионов, в том числе по вопросам бюджетного, налогового,жилищного устройства; Практика городских судов, региональных налоговый календарей, бизнес справки, формы налоговой и бухгалтерской отчетности.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Отраслевое законодательство России</w:t>
                  </w:r>
                </w:p>
                <w:p>
                  <w:pPr>
                    <w:jc w:val="start"/>
                    <w:spacing w:before="0" w:after="0" w:line="276" w:lineRule="auto"/>
                  </w:pPr>
                  <w:r>
                    <w:rPr>
                      <w:rFonts w:ascii="Arial" w:hAnsi="Arial" w:eastAsia="Arial" w:cs="Arial"/>
                      <w:lang w:val="ru-RU"/>
                      <w:color w:val="120D21"/>
                      <w:sz w:val="18"/>
                      <w:szCs w:val="18"/>
                    </w:rPr>
                    <w:t xml:space="preserve">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Проекты актов органов власти</w:t>
                  </w:r>
                </w:p>
                <w:p>
                  <w:pPr>
                    <w:jc w:val="start"/>
                    <w:spacing w:before="0" w:after="0" w:line="276" w:lineRule="auto"/>
                  </w:pPr>
                  <w:r>
                    <w:rPr>
                      <w:rFonts w:ascii="Arial" w:hAnsi="Arial" w:eastAsia="Arial" w:cs="Arial"/>
                      <w:lang w:val="ru-RU"/>
                      <w:color w:val="120D21"/>
                      <w:sz w:val="18"/>
                      <w:szCs w:val="18"/>
                    </w:rPr>
                    <w:t xml:space="preserve">Регионального городского суда, региональный налоговый календарь,</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Международное право</w:t>
                  </w:r>
                </w:p>
                <w:p>
                  <w:pPr>
                    <w:jc w:val="start"/>
                    <w:spacing w:before="0" w:after="0" w:line="276" w:lineRule="auto"/>
                  </w:pPr>
                  <w:r>
                    <w:rPr>
                      <w:rFonts w:ascii="Arial" w:hAnsi="Arial" w:eastAsia="Arial" w:cs="Arial"/>
                      <w:lang w:val="ru-RU"/>
                      <w:color w:val="120D21"/>
                      <w:sz w:val="18"/>
                      <w:szCs w:val="18"/>
                    </w:rPr>
                    <w:t xml:space="preserve">Присутствуют все действующие международные договоры РФ об избежании двойного налогообложения, о правовой помощи по гражданским, семейным и уголовным делам; межведомственные соглашения с участием РФ; документы европейских организаций.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Решения Федеральной антимонопольной службы и территориальных органов</w:t>
                  </w:r>
                </w:p>
                <w:p>
                  <w:pPr>
                    <w:jc w:val="start"/>
                    <w:spacing w:before="0" w:after="0" w:line="276" w:lineRule="auto"/>
                  </w:pPr>
                  <w:r>
                    <w:rPr>
                      <w:rFonts w:ascii="Arial" w:hAnsi="Arial" w:eastAsia="Arial" w:cs="Arial"/>
                      <w:lang w:val="ru-RU"/>
                      <w:color w:val="120D21"/>
                      <w:sz w:val="18"/>
                      <w:szCs w:val="18"/>
                    </w:rPr>
                    <w:t xml:space="preserve">Блок включает в себя как документы антимонопольной службы, которые уже были представлены в системе, так и абсолютно новые материалы, ранее не входившие в состав информационного банка.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240" w:lineRule="auto"/>
                  </w:pPr>
                  <w:r>
                    <w:rPr>
                      <w:rFonts w:ascii="Arial" w:hAnsi="Arial" w:eastAsia="Arial" w:cs="Arial"/>
                      <w:lang w:val="ru-RU"/>
                      <w:color w:val="120D21"/>
                      <w:sz w:val="20"/>
                      <w:szCs w:val="20"/>
                      <w:b w:val="1"/>
                      <w:bCs w:val="1"/>
                    </w:rPr>
                    <w:t xml:space="preserve">Судебная практика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высших судебных органов</w:t>
                  </w:r>
                </w:p>
                <w:p>
                  <w:pPr>
                    <w:jc w:val="start"/>
                    <w:spacing w:before="0" w:after="0" w:line="276" w:lineRule="auto"/>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арбитражных судов округов</w:t>
                  </w:r>
                </w:p>
                <w:p>
                  <w:pPr>
                    <w:jc w:val="start"/>
                    <w:spacing w:before="0" w:after="0" w:line="276" w:lineRule="auto"/>
                  </w:pPr>
                  <w:r>
                    <w:rPr>
                      <w:rFonts w:ascii="Arial" w:hAnsi="Arial" w:eastAsia="Arial" w:cs="Arial"/>
                      <w:lang w:val="ru-RU"/>
                      <w:color w:val="120D21"/>
                      <w:sz w:val="18"/>
                      <w:szCs w:val="18"/>
                    </w:rPr>
                    <w:t xml:space="preserve">Судебная практика всех 10 федеральных арбитражных судов округов - постановления, определения и обзоры практики суда по применению нормативных актов.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jc w:val="start"/>
                    <w:spacing w:before="0" w:after="0" w:line="276" w:lineRule="auto"/>
                  </w:pPr>
                  <w:r>
                    <w:rPr>
                      <w:rFonts w:ascii="Arial" w:hAnsi="Arial" w:eastAsia="Arial" w:cs="Arial"/>
                      <w:lang w:val="ru-RU"/>
                      <w:color w:val="120D21"/>
                      <w:sz w:val="18"/>
                      <w:szCs w:val="18"/>
                    </w:rPr>
                    <w:t xml:space="preserve">Решения 21 арбитражного апелляционного суда РФ, вынесенные в период с января 2008 года по настоящее время, т.е. наиболее свежие и актуальные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Практика судов общей юрисдикции</w:t>
                  </w:r>
                </w:p>
                <w:p>
                  <w:pPr>
                    <w:jc w:val="start"/>
                    <w:spacing w:before="0" w:after="0" w:line="276" w:lineRule="auto"/>
                  </w:pPr>
                  <w:r>
                    <w:rPr>
                      <w:rFonts w:ascii="Arial" w:hAnsi="Arial" w:eastAsia="Arial" w:cs="Arial"/>
                      <w:lang w:val="ru-RU"/>
                      <w:color w:val="120D21"/>
                      <w:sz w:val="18"/>
                      <w:szCs w:val="18"/>
                    </w:rPr>
                    <w:t xml:space="preserve">Блок содержит более 2 млн. актов судов общей юрисдикции регионов России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jc w:val="start"/>
                    <w:spacing w:before="0" w:after="0" w:line="276" w:lineRule="auto"/>
                  </w:pPr>
                  <w:r>
                    <w:rPr>
                      <w:rFonts w:ascii="Arial" w:hAnsi="Arial" w:eastAsia="Arial" w:cs="Arial"/>
                      <w:lang w:val="ru-RU"/>
                      <w:color w:val="120D21"/>
                      <w:sz w:val="18"/>
                      <w:szCs w:val="18"/>
                    </w:rPr>
                    <w:t xml:space="preserve">Материалы блока сгруппированы по постатейному принципу, где каждая статья представляет собой ряд четко сформулированных тезисов, подтверждаемых выдержками из судебных актов. Такой формат предоставления юридической информации позволит быстро и правильно справиться с поставленными задачами, точнее формировать свою позицию по спорным вопросам и проводить более тщательный анализ практических аспектов применения правовых норм.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jc w:val="start"/>
                    <w:spacing w:before="0" w:after="0" w:line="276" w:lineRule="auto"/>
                  </w:pPr>
                  <w:r>
                    <w:rPr>
                      <w:rFonts w:ascii="Arial" w:hAnsi="Arial" w:eastAsia="Arial" w:cs="Arial"/>
                      <w:lang w:val="ru-RU"/>
                      <w:color w:val="120D21"/>
                      <w:sz w:val="18"/>
                      <w:szCs w:val="18"/>
                    </w:rPr>
                    <w:t xml:space="preserve">Вы без дополнительных затрат получаете доступ к текстам всех судебных актов, на которые ссылаются авторы в своих рекомендациях. Это могут быть акты как высших судебных органов, так и нижестоящих инстанций.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Онлайн-архив практики мировых судей</w:t>
                  </w:r>
                </w:p>
                <w:p>
                  <w:pPr>
                    <w:jc w:val="start"/>
                    <w:spacing w:before="0" w:after="0" w:line="276" w:lineRule="auto"/>
                  </w:pPr>
                  <w:r>
                    <w:rPr>
                      <w:rFonts w:ascii="Arial" w:hAnsi="Arial" w:eastAsia="Arial" w:cs="Arial"/>
                      <w:lang w:val="ru-RU"/>
                      <w:color w:val="120D21"/>
                      <w:sz w:val="18"/>
                      <w:szCs w:val="18"/>
                    </w:rPr>
                    <w:t xml:space="preserve">Блок включает дела о нарушении ПДД, о расторжении брака, если между супругами отсутствует спор о детях,о разделе между супругами совместно нажитого имущества при цене иска, не превышающей 50 000 руб, по имущественным спорам, при цене иска, не превышающей 50 000 руб, уголовные дела о преступлениях, максимальное наказание по которым не превышает трех лет лишения свободы, другие.</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Онлайн-архив определений арбитражных судов</w:t>
                  </w:r>
                </w:p>
                <w:p>
                  <w:pPr>
                    <w:jc w:val="start"/>
                    <w:spacing w:before="0" w:after="0" w:line="276" w:lineRule="auto"/>
                  </w:pPr>
                  <w:r>
                    <w:rPr>
                      <w:rFonts w:ascii="Arial" w:hAnsi="Arial" w:eastAsia="Arial" w:cs="Arial"/>
                      <w:lang w:val="ru-RU"/>
                      <w:color w:val="120D21"/>
                      <w:sz w:val="18"/>
                      <w:szCs w:val="18"/>
                    </w:rPr>
                    <w:t xml:space="preserve">«Практика арбитражных судов первой инстанции» содержит более 14 млн. документов судебной практики арбитражных судов республик, краев, областей, городов федерального значения, автономной области и автономных округов.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240" w:lineRule="auto"/>
                  </w:pPr>
                  <w:r>
                    <w:rPr>
                      <w:rFonts w:ascii="Arial" w:hAnsi="Arial" w:eastAsia="Arial" w:cs="Arial"/>
                      <w:lang w:val="ru-RU"/>
                      <w:color w:val="120D21"/>
                      <w:sz w:val="20"/>
                      <w:szCs w:val="20"/>
                      <w:b w:val="1"/>
                      <w:bCs w:val="1"/>
                    </w:rPr>
                    <w:t xml:space="preserve">Консультационные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библиотека юриста</w:t>
                  </w:r>
                </w:p>
                <w:p>
                  <w:pPr>
                    <w:jc w:val="start"/>
                    <w:spacing w:before="0" w:after="0" w:line="276" w:lineRule="auto"/>
                  </w:pPr>
                  <w:r>
                    <w:rPr>
                      <w:rFonts w:ascii="Arial" w:hAnsi="Arial" w:eastAsia="Arial" w:cs="Arial"/>
                      <w:lang w:val="ru-RU"/>
                      <w:color w:val="120D21"/>
                      <w:sz w:val="18"/>
                      <w:szCs w:val="18"/>
                    </w:rPr>
                    <w:t xml:space="preserve">Содержит тысячи консультаций для юристов: публикации из профильных СМИ, ответы на вопросы, книги. Здесь представлен широкий спектр авторитетных мнений по актуальным правовым темам, а также аналитических материалов по спорным вопросам действующего законодательства.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jc w:val="start"/>
                    <w:spacing w:before="0" w:after="0" w:line="276" w:lineRule="auto"/>
                  </w:pPr>
                  <w:r>
                    <w:rPr>
                      <w:rFonts w:ascii="Arial" w:hAnsi="Arial" w:eastAsia="Arial" w:cs="Arial"/>
                      <w:lang w:val="ru-RU"/>
                      <w:color w:val="120D21"/>
                      <w:sz w:val="18"/>
                      <w:szCs w:val="18"/>
                    </w:rPr>
                    <w:t xml:space="preserve">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шаблоны форм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240" w:lineRule="auto"/>
                  </w:pPr>
                  <w:r>
                    <w:rPr>
                      <w:rFonts w:ascii="Arial" w:hAnsi="Arial" w:eastAsia="Arial" w:cs="Arial"/>
                      <w:lang w:val="ru-RU"/>
                      <w:color w:val="120D21"/>
                      <w:sz w:val="20"/>
                      <w:szCs w:val="20"/>
                      <w:b w:val="1"/>
                      <w:bCs w:val="1"/>
                    </w:rPr>
                    <w:t xml:space="preserve">Специализированные блоки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Толковый словарь «Бизнес и право»</w:t>
                  </w:r>
                </w:p>
                <w:p>
                  <w:pPr>
                    <w:jc w:val="start"/>
                    <w:spacing w:before="0" w:after="0" w:line="276" w:lineRule="auto"/>
                  </w:pPr>
                  <w:r>
                    <w:rPr>
                      <w:rFonts w:ascii="Arial" w:hAnsi="Arial" w:eastAsia="Arial" w:cs="Arial"/>
                      <w:lang w:val="ru-RU"/>
                      <w:color w:val="120D21"/>
                      <w:sz w:val="18"/>
                      <w:szCs w:val="18"/>
                    </w:rPr>
                    <w:t xml:space="preserve">Блок будет интересен тем, кому нужно изучить незнакомую юридическую и экономическую терминологию. Особенно для предприятий, занимающихся ВЭД.</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Законодательство в схемах</w:t>
                  </w:r>
                </w:p>
                <w:p>
                  <w:pPr>
                    <w:jc w:val="start"/>
                    <w:spacing w:before="0" w:after="0" w:line="276" w:lineRule="auto"/>
                  </w:pPr>
                  <w:r>
                    <w:rPr>
                      <w:rFonts w:ascii="Arial" w:hAnsi="Arial" w:eastAsia="Arial" w:cs="Arial"/>
                      <w:lang w:val="ru-RU"/>
                      <w:color w:val="120D21"/>
                      <w:sz w:val="18"/>
                      <w:szCs w:val="18"/>
                    </w:rPr>
                    <w:t xml:space="preserve">Материалы, представленные в удобной и компактной форме в виде схем и таблиц, разъясняют основные вопросы законодательства. Наглядное представление схем позволяет быстро разобраться в самых сложных вопросах Российского законодательства.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Формы правовых документов</w:t>
                  </w:r>
                </w:p>
                <w:p>
                  <w:pPr>
                    <w:jc w:val="start"/>
                    <w:spacing w:before="0" w:after="0" w:line="276" w:lineRule="auto"/>
                  </w:pPr>
                  <w:r>
                    <w:rPr>
                      <w:rFonts w:ascii="Arial" w:hAnsi="Arial" w:eastAsia="Arial" w:cs="Arial"/>
                      <w:lang w:val="ru-RU"/>
                      <w:color w:val="120D21"/>
                      <w:sz w:val="18"/>
                      <w:szCs w:val="18"/>
                    </w:rPr>
                    <w:t xml:space="preserve">Типовые бланки деловых бумаг, соответствующие действующему законодательству и требованиям современного делопроизводства, сопровождающие их нормативные документы, бизнес-справки.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ГАРАНТ-Инфарм</w:t>
                  </w:r>
                </w:p>
                <w:p>
                  <w:pPr>
                    <w:jc w:val="start"/>
                    <w:spacing w:before="0" w:after="0" w:line="276" w:lineRule="auto"/>
                  </w:pPr>
                  <w:r>
                    <w:rPr>
                      <w:rFonts w:ascii="Arial" w:hAnsi="Arial" w:eastAsia="Arial" w:cs="Arial"/>
                      <w:lang w:val="ru-RU"/>
                      <w:color w:val="120D21"/>
                      <w:sz w:val="18"/>
                      <w:szCs w:val="18"/>
                    </w:rPr>
                    <w:t xml:space="preserve">Информационный блок "ГАРАНТ-ИнФарм" в системах ГАРАНТ предназначен для решения правовых задач в сфере здравоохранения и содержит документы, регламентирующие медицинскую и фармацевтическую деятельность, стандарты и порядки оказания медицинской помощи, формы медицинской документации, справочные, методические и консультационные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Справочник нормативно-технической документации по строительству</w:t>
                  </w:r>
                </w:p>
                <w:p>
                  <w:pPr>
                    <w:jc w:val="start"/>
                    <w:spacing w:before="0" w:after="0" w:line="276" w:lineRule="auto"/>
                  </w:pPr>
                  <w:r>
                    <w:rPr>
                      <w:rFonts w:ascii="Arial" w:hAnsi="Arial" w:eastAsia="Arial" w:cs="Arial"/>
                      <w:lang w:val="ru-RU"/>
                      <w:color w:val="120D21"/>
                      <w:sz w:val="18"/>
                      <w:szCs w:val="18"/>
                    </w:rPr>
                    <w:t xml:space="preserve">СНиП, ЕниРы, СНиР-91 Р, ГЭСН-2001, ГЭСНр-2001, ТОИ; Другие виды нормативно-технической документации – наиболее важные СП, СанПины, ГОСТы, РДС и др.</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Справочник промышленника</w:t>
                  </w:r>
                </w:p>
                <w:p>
                  <w:pPr>
                    <w:jc w:val="start"/>
                    <w:spacing w:before="0" w:after="0" w:line="276" w:lineRule="auto"/>
                  </w:pPr>
                  <w:r>
                    <w:rPr>
                      <w:rFonts w:ascii="Arial" w:hAnsi="Arial" w:eastAsia="Arial" w:cs="Arial"/>
                      <w:lang w:val="ru-RU"/>
                      <w:color w:val="120D21"/>
                      <w:sz w:val="18"/>
                      <w:szCs w:val="18"/>
                    </w:rPr>
                    <w:t xml:space="preserve">Справочник промышленника» в системах ГАРАНТ включает в себя более 99 000 документов в области технического регулирования, охраны труда, метрологического обеспечения, экологии и промышленной безопасности (ГОСТы, ПБ, РД, СанПиНы, ТОИ и другие нормативы).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Справочник по охране труда</w:t>
                  </w:r>
                </w:p>
                <w:p>
                  <w:pPr>
                    <w:jc w:val="start"/>
                    <w:spacing w:before="0" w:after="0" w:line="276" w:lineRule="auto"/>
                  </w:pPr>
                  <w:r>
                    <w:rPr>
                      <w:rFonts w:ascii="Arial" w:hAnsi="Arial" w:eastAsia="Arial" w:cs="Arial"/>
                      <w:lang w:val="ru-RU"/>
                      <w:color w:val="120D21"/>
                      <w:sz w:val="18"/>
                      <w:szCs w:val="18"/>
                    </w:rPr>
                    <w:t xml:space="preserve">В него включено более 15 тысяч документов по охране труда и социальной безопасности: правовые акты, стандарты, методические рекомендации, санитарные правила и нормы – то есть весь комплекс норм и стандартов для организации системы управления охраной труда на предприятии.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Справочник по техническому регулированию и стандартизации</w:t>
                  </w:r>
                </w:p>
                <w:p>
                  <w:pPr>
                    <w:jc w:val="start"/>
                    <w:spacing w:before="0" w:after="0" w:line="276" w:lineRule="auto"/>
                  </w:pPr>
                  <w:r>
                    <w:rPr>
                      <w:rFonts w:ascii="Arial" w:hAnsi="Arial" w:eastAsia="Arial" w:cs="Arial"/>
                      <w:lang w:val="ru-RU"/>
                      <w:color w:val="120D21"/>
                      <w:sz w:val="18"/>
                      <w:szCs w:val="18"/>
                    </w:rPr>
                    <w:t xml:space="preserve">в системах ГАРАНТ содержит крупнейшую подборку государственных стандартов России, затрагивающих различные вопросы осуществления деятельности предприятий нефтегазового комплекса, электроэнергетики, организации строительства и строительного производства, пищевой и других сфер промышленности, и иные документы по стандартизации.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240" w:lineRule="auto"/>
                  </w:pPr>
                  <w:r>
                    <w:rPr>
                      <w:rFonts w:ascii="Arial" w:hAnsi="Arial" w:eastAsia="Arial" w:cs="Arial"/>
                      <w:lang w:val="ru-RU"/>
                      <w:color w:val="120D21"/>
                      <w:sz w:val="20"/>
                      <w:szCs w:val="20"/>
                      <w:b w:val="1"/>
                      <w:bCs w:val="1"/>
                    </w:rPr>
                    <w:t xml:space="preserve">Без дополнительной оплаты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ПРАЙМ</w:t>
                  </w:r>
                </w:p>
                <w:p>
                  <w:pPr>
                    <w:jc w:val="start"/>
                    <w:spacing w:before="0" w:after="0" w:line="276" w:lineRule="auto"/>
                  </w:pPr>
                  <w:r>
                    <w:rPr>
                      <w:rFonts w:ascii="Arial" w:hAnsi="Arial" w:eastAsia="Arial" w:cs="Arial"/>
                      <w:lang w:val="ru-RU"/>
                      <w:color w:val="120D21"/>
                      <w:sz w:val="18"/>
                      <w:szCs w:val="18"/>
                    </w:rPr>
                    <w:t xml:space="preserve">Благодаря этой услуге, пользователь ИПО ГАРАНТ всегда в курсе всех новостей, происходящих в интересующей его профессиональной области. Он не  пропустит ничего важного, при этом, благодаря точной подборке новостей и представления их в
виде аннотации, потратит на изучение этой информации минимум времени. Если профессиональные интересы пользователя  изменились, он легко может внести изменения в свою новостную ленту и уже со следующего дня начать получать новую ленту. При необходимости, он ожет
настроить несколько новостных лент.</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Архивы ГАРАНТа</w:t>
                  </w:r>
                </w:p>
                <w:p>
                  <w:pPr>
                    <w:jc w:val="start"/>
                    <w:spacing w:before="0" w:after="0" w:line="276" w:lineRule="auto"/>
                  </w:pPr>
                  <w:r>
                    <w:rPr>
                      <w:rFonts w:ascii="Arial" w:hAnsi="Arial" w:eastAsia="Arial" w:cs="Arial"/>
                      <w:lang w:val="ru-RU"/>
                      <w:color w:val="120D21"/>
                      <w:sz w:val="18"/>
                      <w:szCs w:val="18"/>
                    </w:rPr>
                    <w:t xml:space="preserve">Содержит узковедомственные отраслевые документы, редкие нормативные акты, организационные и индивидуальные нормативные акты.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Большая домашняя правовая энциклопедия</w:t>
                  </w:r>
                </w:p>
                <w:p>
                  <w:pPr>
                    <w:jc w:val="start"/>
                    <w:spacing w:before="0" w:after="0" w:line="276" w:lineRule="auto"/>
                  </w:pPr>
                  <w:r>
                    <w:rPr>
                      <w:rFonts w:ascii="Arial" w:hAnsi="Arial" w:eastAsia="Arial" w:cs="Arial"/>
                      <w:lang w:val="ru-RU"/>
                      <w:color w:val="120D21"/>
                      <w:sz w:val="18"/>
                      <w:szCs w:val="18"/>
                    </w:rPr>
                    <w:t xml:space="preserve">Без дополнительных затрат Вы получаете блок, который включает в себя несколько составляющих. Это "Домашняя правовая энциклопедия", где разобраны основные правовые темы, с которыми может столкнуться любой гражданин нашей страны. А также уникальные вопросы-ответы экспертов службы Правового консалтинга ГАРАНТ и юристов интернет-портала Правовед.RU.</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База знаний службы правового консалтинга</w:t>
                  </w:r>
                </w:p>
                <w:p>
                  <w:pPr>
                    <w:jc w:val="start"/>
                    <w:spacing w:before="0" w:after="0" w:line="276" w:lineRule="auto"/>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240" w:lineRule="auto"/>
                  </w:pPr>
                  <w:r>
                    <w:rPr>
                      <w:rFonts w:ascii="Arial" w:hAnsi="Arial" w:eastAsia="Arial" w:cs="Arial"/>
                      <w:lang w:val="ru-RU"/>
                      <w:color w:val="120D21"/>
                      <w:sz w:val="20"/>
                      <w:szCs w:val="20"/>
                      <w:b w:val="1"/>
                      <w:bCs w:val="1"/>
                    </w:rPr>
                    <w:t xml:space="preserve">Энциклопедии решений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jc w:val="start"/>
                    <w:spacing w:before="0" w:after="0" w:line="276" w:lineRule="auto"/>
                  </w:pPr>
                  <w:r>
                    <w:rPr>
                      <w:rFonts w:ascii="Arial" w:hAnsi="Arial" w:eastAsia="Arial" w:cs="Arial"/>
                      <w:lang w:val="ru-RU"/>
                      <w:color w:val="120D21"/>
                      <w:sz w:val="18"/>
                      <w:szCs w:val="18"/>
                    </w:rPr>
                    <w:t xml:space="preserve">Контролирующие органы могут прийти в любую компанию и проверить, как уплачиваются налоги, соблюдаются ли требования трудового
законодательства, нет ли нарушений при осуществлении рекламы и др. Чтобы аргументированно отстоять свою позицию при общении с
проверяющими органами и защитить собственные права, пользователь может обратиться к материалам блока Энциклопедия решений.
Проверки организаций и предпринимателей. В данном блоке содержится вся необходимая информация по основным проверяющим органам;
рассматриваются вопросы, возникающие в ходе проведения проверок; имеется подробное описание правил поведения в конкретной ситуации;
представлены образцы документов, оформляемых при проведении проверок. Вся информация блока изложена простым и понятным языком,
всегда соответствует действующему законодательству и юридически обоснована.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решений.Госсектор: учет, отчетность, финконтроль</w:t>
                  </w:r>
                </w:p>
                <w:p>
                  <w:pPr>
                    <w:jc w:val="start"/>
                    <w:spacing w:before="0" w:after="0" w:line="276" w:lineRule="auto"/>
                  </w:pPr>
                  <w:r>
                    <w:rPr>
                      <w:rFonts w:ascii="Arial" w:hAnsi="Arial" w:eastAsia="Arial" w:cs="Arial"/>
                      <w:lang w:val="ru-RU"/>
                      <w:color w:val="120D21"/>
                      <w:sz w:val="18"/>
                      <w:szCs w:val="18"/>
                    </w:rPr>
                    <w:t xml:space="preserve">В настоящее время блок Энциклопедия решений. Бюджетная сфера: учет,
отчетность, финконтроль состоит из следующих разделов: 
1) организации
бюджетной сферы: особенности правового положения; 
2) бухгалтерский учет в
организациях бюджетной сферы; 
3) бюджетная классификация; 
4) бухгалтерская
отчетность бюджетных и автономных учреждений; 5) бюджетная отчетность казенных
учреждений и органов власти; 
6) налоги и взносы в организациях бюджетной сферы; 
7)финансовые, имущественные и правовые вопросы; 
8) проверки органами
финконтроля; 
9) годовой отчет 2023; 
10) квартальная отчетность 2023;</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Хозяйственные ситуации</w:t>
                  </w:r>
                </w:p>
                <w:p>
                  <w:pPr>
                    <w:jc w:val="start"/>
                    <w:spacing w:before="0" w:after="0" w:line="276" w:lineRule="auto"/>
                  </w:pPr>
                  <w:r>
                    <w:rPr>
                      <w:rFonts w:ascii="Arial" w:hAnsi="Arial" w:eastAsia="Arial" w:cs="Arial"/>
                      <w:lang w:val="ru-RU"/>
                      <w:color w:val="120D21"/>
                      <w:sz w:val="18"/>
                      <w:szCs w:val="18"/>
                    </w:rPr>
                    <w:t xml:space="preserve">Блок представляет собой практическую информацию по конкретным хозяйственным ситуациям: описание ситуации, регулирующие ее правовые нормы, необходимые формы документов, бухгалтерские проводки, позиция контролирующих органов и судебная практика. Все ситуации взяты из новейшей практики российского бизнеса. Особенностью данного блока являются интерактивные калькуляторы - приведенные в текстах энциклопедии формулы снабжены калькулятором, в котором можно рассчитать "на лету" результат с собственными данными.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Госзакупки</w:t>
                  </w:r>
                </w:p>
                <w:p>
                  <w:pPr>
                    <w:jc w:val="start"/>
                    <w:spacing w:before="0" w:after="0" w:line="276" w:lineRule="auto"/>
                  </w:pPr>
                  <w:r>
                    <w:rPr>
                      <w:rFonts w:ascii="Arial" w:hAnsi="Arial" w:eastAsia="Arial" w:cs="Arial"/>
                      <w:lang w:val="ru-RU"/>
                      <w:color w:val="120D21"/>
                      <w:sz w:val="18"/>
                      <w:szCs w:val="18"/>
                    </w:rPr>
                    <w:t xml:space="preserve">На сегодняшний день закупки товаров, выполнение работ и оказание услуг для государственных нужд занимают значительный сектор российской
экономики. Компания «Гарант» предлагает информационный блок Энциклопедия решений. Государственные и корпоративные закупки,
содержащий ответы на основные вопросы, с которыми сталкиваются все участники закупочной деятельности на различных этапах проведения
торгов. Все материалы данного блока проверяются на соответствие действующему законодательству и регулярно дополняются новыми
документами, что является гарантией актуальности используемой информации и придает больше уверенности в принимаемых решениях.
Материалы содержат ссылки на необходимую информацию: нормативные документы, разъяснения государственных органов и комментарии
ведущих экспертов по вопросам размещения заказов, обзоры судебной и административной практики, практики рассмотрения Федеральной
антимонопольной службой жалоб на действия заказчиков и операторов электронных площадок, а также примерные формы документов,
подлежащих обязательному оформлению при проведении процедуры размещения заказов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Трудовые отношения, кадры</w:t>
                  </w:r>
                </w:p>
                <w:p>
                  <w:pPr>
                    <w:jc w:val="start"/>
                    <w:spacing w:before="0" w:after="0" w:line="276" w:lineRule="auto"/>
                  </w:pPr>
                  <w:r>
                    <w:rPr>
                      <w:rFonts w:ascii="Arial" w:hAnsi="Arial" w:eastAsia="Arial" w:cs="Arial"/>
                      <w:lang w:val="ru-RU"/>
                      <w:color w:val="120D21"/>
                      <w:sz w:val="18"/>
                      <w:szCs w:val="18"/>
                    </w:rPr>
                    <w:t xml:space="preserve">Представляетсобой набор аналитических авторских материалов. Это не только систематизированное изложение правовых норм, но и практические
комментарии. Опыт экспертов службы Правового консалтинга ГАРАНТ позволил разработчикам блока выявить самые распространенные и
актуальные вопросы, возникающие у специалистов, работающих с трудовыми ресурсами и подготовить ответы на них. Все
представленные выводы всегда сопровождаются обоснованием, содержащим ссылки на нормативные правовые акты, разъяснительные
письма чиновников, судебную практику. По гипертекстовым ссылкам в тексте пользователь может быстро перейти к этим документам.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Налоги и взносы</w:t>
                  </w:r>
                </w:p>
                <w:p>
                  <w:pPr>
                    <w:jc w:val="start"/>
                    <w:spacing w:before="0" w:after="0" w:line="276" w:lineRule="auto"/>
                  </w:pPr>
                  <w:r>
                    <w:rPr>
                      <w:rFonts w:ascii="Arial" w:hAnsi="Arial" w:eastAsia="Arial" w:cs="Arial"/>
                      <w:lang w:val="ru-RU"/>
                      <w:color w:val="120D21"/>
                      <w:sz w:val="18"/>
                      <w:szCs w:val="18"/>
                    </w:rPr>
                    <w:t xml:space="preserve">Представляет собой набор актуальных аналитических статей, в каждой из которых
рассмотрен отдельный вопрос налогообложения. Все статьи подготовлены авторским коллективом экспертов компании «Гарант».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консультации из
Базы знаний службы Правового консалтинга ГАРАНТ, иллюстрирующие применение конкретных норм, а также примеры заполнения форм
документов. Перейти к этим дополнительным материалам можно из меню в правой части окна.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Договоры и иные сделки</w:t>
                  </w:r>
                </w:p>
                <w:p>
                  <w:pPr>
                    <w:jc w:val="start"/>
                    <w:spacing w:before="0" w:after="0" w:line="276" w:lineRule="auto"/>
                  </w:pPr>
                  <w:r>
                    <w:rPr>
                      <w:rFonts w:ascii="Arial" w:hAnsi="Arial" w:eastAsia="Arial" w:cs="Arial"/>
                      <w:lang w:val="ru-RU"/>
                      <w:color w:val="120D21"/>
                      <w:sz w:val="18"/>
                      <w:szCs w:val="18"/>
                    </w:rPr>
                    <w:t xml:space="preserve">Используя в работе материалы блока Энциклопедия решений. Договоры и иные сделки, Вы всегда будете знать, какие
тонкости необходимо учитывать при выборе модели договорных правоотношений, на что следует обратить особое внимание при
составлении текста договора. В блоке содержатся только актуальные и проверенные материалы о часто используемых гражданско-
правовых договорах, применяемых как в предпринимательской деятельности, так и в отношениях между гражданами; рассматриваются
особенности различных их видов; освещаются проблемы, связанные с исполнением этих договоров и предлагаются пути их решения,
приводятся практические рекомендации. Здесь же можно найти и актуальные формы всех представленных в блоке договоров, а также
сопутствующих им документов (актов, уведомлений, претензий и т.д.).</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Энциклопедия решений. Корпоративное право</w:t>
                  </w:r>
                </w:p>
                <w:p>
                  <w:pPr>
                    <w:jc w:val="start"/>
                    <w:spacing w:before="0" w:after="0" w:line="276" w:lineRule="auto"/>
                  </w:pPr>
                  <w:r>
                    <w:rPr>
                      <w:rFonts w:ascii="Arial" w:hAnsi="Arial" w:eastAsia="Arial" w:cs="Arial"/>
                      <w:lang w:val="ru-RU"/>
                      <w:color w:val="120D21"/>
                      <w:sz w:val="18"/>
                      <w:szCs w:val="18"/>
                    </w:rPr>
                    <w:t xml:space="preserve">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Представлен в удобном формате, позволяющем не только получить краткий и
актуальный ответ на интересующий вопрос, но и перейти к изучению смежных тем, чтобы
сформировать целостное представление по рассматриваемой проблеме.</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1" w:after="1" w:line="240" w:lineRule="auto"/>
                  </w:pPr>
                  <w:r>
                    <w:rPr>
                      <w:rFonts w:ascii="Arial" w:hAnsi="Arial" w:eastAsia="Arial" w:cs="Arial"/>
                      <w:lang w:val="ru-RU"/>
                      <w:color w:val="120D21"/>
                      <w:sz w:val="20"/>
                      <w:szCs w:val="20"/>
                      <w:b w:val="1"/>
                      <w:bCs w:val="1"/>
                    </w:rPr>
                    <w:t xml:space="preserve">Правовая Поддержка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start"/>
                    <w:spacing w:before="0" w:after="0" w:line="276" w:lineRule="auto"/>
                  </w:pPr>
                  <w:r>
                    <w:rPr>
                      <w:rFonts w:ascii="Arial" w:hAnsi="Arial" w:eastAsia="Arial" w:cs="Arial"/>
                      <w:lang w:val="ru-RU"/>
                      <w:color w:val="120D21"/>
                      <w:sz w:val="20"/>
                      <w:szCs w:val="20"/>
                      <w:b w:val="1"/>
                      <w:bCs w:val="1"/>
                    </w:rPr>
                    <w:t xml:space="preserve">Горячая
линия</w:t>
                  </w:r>
                </w:p>
                <w:p>
                  <w:pPr>
                    <w:jc w:val="start"/>
                    <w:spacing w:before="0" w:after="0" w:line="276" w:lineRule="auto"/>
                  </w:pPr>
                  <w:r>
                    <w:rPr>
                      <w:rFonts w:ascii="Arial" w:hAnsi="Arial" w:eastAsia="Arial" w:cs="Arial"/>
                      <w:lang w:val="ru-RU"/>
                      <w:color w:val="120D21"/>
                      <w:sz w:val="18"/>
                      <w:szCs w:val="18"/>
                    </w:rPr>
                    <w:t xml:space="preserve">В рамках Горячей линии информационно-правовой поддержки пользователям предлагается:
Помощь в формировании подборки материалов системы ГАРАНТ, которые могут применяться в ситуации, описанной в вопросе;
Помощь в розыске отсутствующего в системе ГАРАНТ документа и предоставление документов, не входящих в комплект пользователя;
Ответы на вопросы о статусе (действии) документа.</w:t>
                  </w:r>
                </w:p>
              </w:tc>
            </w:tr>
          </w:tbl>
          <w:p/>
        </w:tc>
      </w:tr>
    </w:tbl>
    <w:p>
      <w:r>
        <w:br w:type="page"/>
      </w:r>
    </w:p>
    <w:p>
      <w:pPr/>
      <w:r>
        <w:rPr>
          <w:rFonts w:ascii="Arial" w:hAnsi="Arial" w:eastAsia="Arial" w:cs="Arial"/>
          <w:lang w:val="ru-RU"/>
          <w:color w:val="120D21"/>
          <w:sz w:val="28"/>
          <w:szCs w:val="28"/>
          <w:b w:val="1"/>
          <w:bCs w:val="1"/>
        </w:rPr>
        <w:t xml:space="preserve">Нормативно-правовые акты</w:t>
      </w:r>
    </w:p>
    <w:p/>
    <w:p>
      <w:pPr/>
      <w:r>
        <w:rPr>
          <w:rFonts w:ascii="Arial" w:hAnsi="Arial" w:eastAsia="Arial" w:cs="Arial"/>
          <w:lang w:val="ru-RU"/>
          <w:color w:val="120D21"/>
          <w:sz w:val="20"/>
          <w:szCs w:val="20"/>
          <w:b w:val="1"/>
          <w:bCs w:val="1"/>
        </w:rPr>
        <w:t xml:space="preserve">Законодательство России</w:t>
      </w:r>
    </w:p>
    <w:p>
      <w:pPr/>
      <w:r>
        <w:rPr>
          <w:rFonts w:ascii="Arial" w:hAnsi="Arial" w:eastAsia="Arial" w:cs="Arial"/>
          <w:lang w:val="ru-RU"/>
          <w:color w:val="120D21"/>
          <w:sz w:val="18"/>
          <w:szCs w:val="18"/>
        </w:rPr>
        <w:t xml:space="preserve">Информационный банк содержит документы федерального уровня регулирования по основным отраслям права: гражданские отношения, налогообложение, бухучет, предпринимательство, собственность, валютное регулирование, трудовые отношения, социальная защита и другие. Включает все кодексы и федеральные законы. Кроме нормативных документов, в блок включены судебная и арбитражная практика, формы правовых документов, производственный календарь и другие бизнес-справки. В блок включены обновляемые интерактивные путеводители по общему плану счетов, кадровому делу и охране труда.</w:t>
      </w:r>
    </w:p>
    <w:p/>
    <w:p>
      <w:pPr/>
      <w:r>
        <w:rPr>
          <w:rFonts w:ascii="Arial" w:hAnsi="Arial" w:eastAsia="Arial" w:cs="Arial"/>
          <w:lang w:val="ru-RU"/>
          <w:color w:val="120D21"/>
          <w:sz w:val="20"/>
          <w:szCs w:val="20"/>
          <w:b w:val="1"/>
          <w:bCs w:val="1"/>
        </w:rPr>
        <w:t xml:space="preserve">Региональное законодательство</w:t>
      </w:r>
    </w:p>
    <w:p>
      <w:pPr/>
      <w:r>
        <w:rPr>
          <w:rFonts w:ascii="Arial" w:hAnsi="Arial" w:eastAsia="Arial" w:cs="Arial"/>
          <w:lang w:val="ru-RU"/>
          <w:color w:val="120D21"/>
          <w:sz w:val="18"/>
          <w:szCs w:val="18"/>
        </w:rPr>
        <w:t xml:space="preserve">Основные правовые акты вашего региона - необходимая информация для каждого специалиста, работающего с правовой информацией. Кодексы, законы, указы, постановления, приказы, разъяснительные письма и другие документы именно вашего региона.</w:t>
      </w:r>
    </w:p>
    <w:p/>
    <w:p>
      <w:pPr/>
      <w:r>
        <w:rPr>
          <w:rFonts w:ascii="Arial" w:hAnsi="Arial" w:eastAsia="Arial" w:cs="Arial"/>
          <w:lang w:val="ru-RU"/>
          <w:color w:val="120D21"/>
          <w:sz w:val="20"/>
          <w:szCs w:val="20"/>
          <w:b w:val="1"/>
          <w:bCs w:val="1"/>
        </w:rPr>
        <w:t xml:space="preserve">Отраслевое законодательство России</w:t>
      </w:r>
    </w:p>
    <w:p>
      <w:pPr/>
      <w:r>
        <w:rPr>
          <w:rFonts w:ascii="Arial" w:hAnsi="Arial" w:eastAsia="Arial" w:cs="Arial"/>
          <w:lang w:val="ru-RU"/>
          <w:color w:val="120D21"/>
          <w:sz w:val="18"/>
          <w:szCs w:val="18"/>
        </w:rPr>
        <w:t xml:space="preserve">Информационный блок, 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
Таможенное законодательство
Необходимая информация для тех, чья сфера деятельности связана с таможенными правоотношениями, ВЭД, валютным контролем. Документы, регламентирующие вопросы внешнеэкономической деятельности, в том числе документы ФТС России, полный текст ТН ВЭД СНГ; судебная и арбитражная практика; международные договоры, действующие в рамках ЕврАзЭс, Таможенный кодекс Таможенного союза; классификационные решения ФТС России; формы таможенных деклараций. Бизнес-справки, в том числе реестр банков, гарантии которых принимаются таможенными органами.
Банковское законодательство
Для профессионалов, связанных с банковской деятельностью. Документы ЦБ РФ, международные, ведомственные документы, судебная и арбитражная практика, формы отчетности, справочник БИК РФ, курсы валют, процентные ставки по операциям Банка России, в том числе ставка рефинансирования, а также другие бизнес-справки.
Жилищное право
Информация подобрана специально для тех, чья сфера интересов связана с риелторской деятельностью, страхованием недвижимости, приватизацией жилья, ЖКХ. Нормативные документы по жилищному законодательству, представлению коммунальных услуг, приватизации, аренде, ипотечному кредитованию и другим вопросам. Также здесь содержатся судебная и арбитражная практика, формы документов для оформления всех видов сделок с недвижимостью.
Законодательство по землепользованию, недропользованию, природоохране
Для специалистов, интересующихся земельными правоотношениями, разработкой и использованием недр, водных и лесных ресурсов, атмосферного воздуха, охраной окружающей среды и обеспечением экологической безопасности, ведением и развитием сельского хозяйства, садоводства, огородничества, дачного хозяйства, контролем и надзором в сфере ветеринарии. Нормативные акты отраслевых министерств и ведомств, судебная и арбитражная практика по спорам об использовании земли, водных объектов, природной среды и природных ресурсов, формы необходимых документов, международные договоры в сфере защиты окружающей среды, экологического сотрудничества и другие.
Уголовное и административное право
Необходимая информация для специалистов, так или иначе связанных с правоохранительной и правозащитной деятельностью. Нормативные акты и судебная практика по уголовному, уголовно-процессуальному, административному, уголовно-исполнительному законодательству и законодательству о правоохранительных органах и оперативно-розыскной деятельности, а также формы процессуальных документов.
Медицинское законодательство
Специалистам, решающим правовые задачи в сфере здравоохранения. Документы по финансированию и организации здравоохранения, медицинскому страхованию, лицензированию, контролю экспертизы и качества лекарственных средств, стандартам оказания медицинской помощи, правовому регулированию предоставления платных медицинских услуг. Формы отчетной и учетной медицинской документации, особенности налогообложения, льготного обеспечения в медицинских организациях и кадровая работа.
Законодательство о строительстве
Необходимая информация для специалистов, работающих в области строительства. Федеральное и региональное законодательство в области строительства, рекомендации специалистов министерств и ведомств, судебная и арбитражная практика, международные соглашения, формы документов и необходимая справочная информация.</w:t>
      </w:r>
    </w:p>
    <w:p/>
    <w:p>
      <w:pPr/>
      <w:r>
        <w:rPr>
          <w:rFonts w:ascii="Arial" w:hAnsi="Arial" w:eastAsia="Arial" w:cs="Arial"/>
          <w:lang w:val="ru-RU"/>
          <w:color w:val="120D21"/>
          <w:sz w:val="20"/>
          <w:szCs w:val="20"/>
          <w:b w:val="1"/>
          <w:bCs w:val="1"/>
        </w:rPr>
        <w:t xml:space="preserve">Проекты актов органов власти</w:t>
      </w:r>
    </w:p>
    <w:p>
      <w:pPr/>
      <w:r>
        <w:rPr>
          <w:rFonts w:ascii="Arial" w:hAnsi="Arial" w:eastAsia="Arial" w:cs="Arial"/>
          <w:lang w:val="ru-RU"/>
          <w:color w:val="120D21"/>
          <w:sz w:val="18"/>
          <w:szCs w:val="18"/>
        </w:rPr>
        <w:t xml:space="preserve">Наполнение информационного блока:
проекты федеральных законов, которые готовятся к рассмотрению Государственной Думой РФ;
акты, связанные с принятием законопроекта;
постановления Государственной Думы и Совета Федерации о принятии Федеральных законов;
письма о заключениях на проекты Федеральных законов;
документы основных эмитентов о внесении законопроектов и поручения об их разработке.</w:t>
      </w:r>
    </w:p>
    <w:p/>
    <w:p>
      <w:pPr/>
      <w:r>
        <w:rPr>
          <w:rFonts w:ascii="Arial" w:hAnsi="Arial" w:eastAsia="Arial" w:cs="Arial"/>
          <w:lang w:val="ru-RU"/>
          <w:color w:val="120D21"/>
          <w:sz w:val="20"/>
          <w:szCs w:val="20"/>
          <w:b w:val="1"/>
          <w:bCs w:val="1"/>
        </w:rPr>
        <w:t xml:space="preserve">Международное право</w:t>
      </w:r>
    </w:p>
    <w:p>
      <w:pPr/>
      <w:r>
        <w:rPr>
          <w:rFonts w:ascii="Arial" w:hAnsi="Arial" w:eastAsia="Arial" w:cs="Arial"/>
          <w:lang w:val="ru-RU"/>
          <w:color w:val="120D21"/>
          <w:sz w:val="18"/>
          <w:szCs w:val="18"/>
        </w:rPr>
        <w:t xml:space="preserve">Документы, регулирующие деятельность участников внешнеэкономической деятельности по различным направлениям - экономическому, налоговому, таможенному, уголовному и другим. Международные договоры, конвенции, соглашения, а также законы об их ратификации, документы Таможенного союза, СНГ, решения ЕСПЧ и другие. Информация о государствах-участниках и статусе конкретных документов.</w:t>
      </w:r>
    </w:p>
    <w:p/>
    <w:p>
      <w:pPr/>
      <w:r>
        <w:rPr>
          <w:rFonts w:ascii="Arial" w:hAnsi="Arial" w:eastAsia="Arial" w:cs="Arial"/>
          <w:lang w:val="ru-RU"/>
          <w:color w:val="120D21"/>
          <w:sz w:val="20"/>
          <w:szCs w:val="20"/>
          <w:b w:val="1"/>
          <w:bCs w:val="1"/>
        </w:rPr>
        <w:t xml:space="preserve">Решения Федеральной антимонопольной службы и территориальных органов</w:t>
      </w:r>
    </w:p>
    <w:p>
      <w:pPr/>
      <w:r>
        <w:rPr>
          <w:rFonts w:ascii="Arial" w:hAnsi="Arial" w:eastAsia="Arial" w:cs="Arial"/>
          <w:lang w:val="ru-RU"/>
          <w:color w:val="120D21"/>
          <w:sz w:val="18"/>
          <w:szCs w:val="18"/>
        </w:rPr>
        <w:t xml:space="preserve">Блок содержит решения Федеральной антимонопольной службы России (ФАС) и территориальных управлений ведомства (УФАС). Доступ к документам ведомства позволяет изучить и предусмотреть все возможные риски при: • участии в закупочных процедурах; • приобретении ценных бумаг и других активов; • внедрении бонусных программ; • развитии торговых отношений, представительств и партнерской сети; • размещение рекламы и пр.</w:t>
      </w:r>
    </w:p>
    <w:p/>
    <w:p>
      <w:pPr/>
      <w:r>
        <w:rPr>
          <w:rFonts w:ascii="Arial" w:hAnsi="Arial" w:eastAsia="Arial" w:cs="Arial"/>
          <w:lang w:val="ru-RU"/>
          <w:color w:val="120D21"/>
          <w:sz w:val="28"/>
          <w:szCs w:val="28"/>
          <w:b w:val="1"/>
          <w:bCs w:val="1"/>
        </w:rPr>
        <w:t xml:space="preserve">Судебная практика</w:t>
      </w:r>
    </w:p>
    <w:p/>
    <w:p>
      <w:pPr/>
      <w:r>
        <w:rPr>
          <w:rFonts w:ascii="Arial" w:hAnsi="Arial" w:eastAsia="Arial" w:cs="Arial"/>
          <w:lang w:val="ru-RU"/>
          <w:color w:val="120D21"/>
          <w:sz w:val="20"/>
          <w:szCs w:val="20"/>
          <w:b w:val="1"/>
          <w:bCs w:val="1"/>
        </w:rPr>
        <w:t xml:space="preserve">Практика высших судебных органов</w:t>
      </w:r>
    </w:p>
    <w:p>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 Наиболее полная подборка решений КС РФ, ВАС РФ, ВС РФ . Адреса и телефоны судов РФ и высших судебных органов стран ближнего зарубежья.</w:t>
      </w:r>
    </w:p>
    <w:p/>
    <w:p>
      <w:pPr/>
      <w:r>
        <w:rPr>
          <w:rFonts w:ascii="Arial" w:hAnsi="Arial" w:eastAsia="Arial" w:cs="Arial"/>
          <w:lang w:val="ru-RU"/>
          <w:color w:val="120D21"/>
          <w:sz w:val="20"/>
          <w:szCs w:val="20"/>
          <w:b w:val="1"/>
          <w:bCs w:val="1"/>
        </w:rPr>
        <w:t xml:space="preserve">Практика арбитражных судов округов</w:t>
      </w:r>
    </w:p>
    <w:p>
      <w:pPr/>
      <w:r>
        <w:rPr>
          <w:rFonts w:ascii="Arial" w:hAnsi="Arial" w:eastAsia="Arial" w:cs="Arial"/>
          <w:lang w:val="ru-RU"/>
          <w:color w:val="120D21"/>
          <w:sz w:val="18"/>
          <w:szCs w:val="18"/>
        </w:rPr>
        <w:t xml:space="preserve">Блок включает в себя практику всех 10 арбитражных судов округов - постановления, определения и обзоры практики суда по применению нормативных актов.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r>
        <w:rPr>
          <w:rFonts w:ascii="Arial" w:hAnsi="Arial" w:eastAsia="Arial" w:cs="Arial"/>
          <w:lang w:val="ru-RU"/>
          <w:color w:val="120D21"/>
          <w:sz w:val="18"/>
          <w:szCs w:val="18"/>
        </w:rPr>
        <w:t xml:space="preserve">Блок включает в себя практику всех 10 судебных округов в которых функционирует 21 арбитражный апелляционный суд.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судов общей юрисдикции</w:t>
      </w:r>
    </w:p>
    <w:p>
      <w:pPr/>
      <w:r>
        <w:rPr>
          <w:rFonts w:ascii="Arial" w:hAnsi="Arial" w:eastAsia="Arial" w:cs="Arial"/>
          <w:lang w:val="ru-RU"/>
          <w:color w:val="120D21"/>
          <w:sz w:val="18"/>
          <w:szCs w:val="18"/>
        </w:rPr>
        <w:t xml:space="preserve">Блок объединяет в себя практику судов общей юрисдикции из 85 регионов РФ. В рамках одного блока пользователь получает всю практику таких судебных органов как:
верховные суды республик,
краевые и областные суды,
суды городов федерального значения,
суды автономной области и автономных округов,
отдельные районные суды и мировые судьи.</w:t>
      </w:r>
    </w:p>
    <w:p/>
    <w:p>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r>
        <w:rPr>
          <w:rFonts w:ascii="Arial" w:hAnsi="Arial" w:eastAsia="Arial" w:cs="Arial"/>
          <w:lang w:val="ru-RU"/>
          <w:color w:val="120D21"/>
          <w:sz w:val="18"/>
          <w:szCs w:val="18"/>
        </w:rPr>
        <w:t xml:space="preserve">В блоке каждый документ посвящен конкретной норме права, и предлагает пользователям возможность быстро знакомиться с мнениями судов по рассматриваемому вопросу. Все материалы снабжены краткими выводами, которые были сформулированы опытными экспертами компании "Гарант", а также содержат правовые позиции судов по аналогичной ситуации. Блок позволяет быстро "ухватить" суть изучаемого вопроса и оперативно обращаться к заинтересовавшему судебному акту.
Энциклопедия включает в себя структурированные постатейные аннотации решений судов по наиболее востребованным пользователями темам и нормативным актам, среди которых:
- Гражданский кодекс РФ;
- Налоговый кодекс РФ;
- Трудовой кодекс РФ;
- Земельный кодекс;
- Закон "Об акционерных обществах";
- Закон "Об обществах с ограниченной ответственностью";
- Закон "О защите прав потребителей";
- Закон о страховых взносах во внебюджетные фонды;
- Закон об обязательном страховании от несчастных случаев и другие.</w:t>
      </w:r>
    </w:p>
    <w:p/>
    <w:p>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p/>
    <w:p>
      <w:pPr/>
      <w:r>
        <w:rPr>
          <w:rFonts w:ascii="Arial" w:hAnsi="Arial" w:eastAsia="Arial" w:cs="Arial"/>
          <w:lang w:val="ru-RU"/>
          <w:color w:val="120D21"/>
          <w:sz w:val="20"/>
          <w:szCs w:val="20"/>
          <w:b w:val="1"/>
          <w:bCs w:val="1"/>
        </w:rPr>
        <w:t xml:space="preserve">Онлайн-архив практики мировых судей</w:t>
      </w:r>
    </w:p>
    <w:p>
      <w:pPr/>
      <w:r>
        <w:rPr>
          <w:rFonts w:ascii="Arial" w:hAnsi="Arial" w:eastAsia="Arial" w:cs="Arial"/>
          <w:lang w:val="ru-RU"/>
          <w:color w:val="120D21"/>
          <w:sz w:val="18"/>
          <w:szCs w:val="18"/>
        </w:rPr>
        <w:t xml:space="preserve">Блок включает практику мировых судей. Мировой судья рассматривает в первой инстанции дела: • подсудные ему уголовные дела о преступлениях, за совершение которых максимальное наказание не превышает трех лет лишения свободы; • о выдаче судебного приказа; • о расторжении брака, если между супругами отсутствует спор о детях; • о разделе между супругами совместно нажитого имущества при цене иска, не превышающей 50 000 руб.; • иные возникающие из семейно-правовых отношений дела, за исключением дел об оспаривании отцовства (материнства), об установлении отцовства, о лишении или ограничении родительских прав, об усыновлении (удочерении) ребенка, других дел по спорам о детях и дел о признании брака недействительным; • по имущественным спорам, за исключением дел о наследовании имущества и дел, возникающих из отношений по созданию и использованию результатов интеллектуальной деятельности, при цене иска, не превышающей 50 000 руб.; • об определении порядка пользования имуществом; • об административных правонарушениях, отнесенные к компетенции мирового судьи; • иные дела, отнесенные к их подсудности федеральными законами. • Мировой судья рассматривает также дела по вновь открывшимся обстоятельствам в отношении решений, принятых им в первой инстанции и вступивших в законную силу.</w:t>
      </w:r>
    </w:p>
    <w:p/>
    <w:p>
      <w:pPr/>
      <w:r>
        <w:rPr>
          <w:rFonts w:ascii="Arial" w:hAnsi="Arial" w:eastAsia="Arial" w:cs="Arial"/>
          <w:lang w:val="ru-RU"/>
          <w:color w:val="120D21"/>
          <w:sz w:val="20"/>
          <w:szCs w:val="20"/>
          <w:b w:val="1"/>
          <w:bCs w:val="1"/>
        </w:rPr>
        <w:t xml:space="preserve">Онлайн-архив определений арбитражных судов</w:t>
      </w:r>
    </w:p>
    <w:p>
      <w:pPr/>
      <w:r>
        <w:rPr>
          <w:rFonts w:ascii="Arial" w:hAnsi="Arial" w:eastAsia="Arial" w:cs="Arial"/>
          <w:lang w:val="ru-RU"/>
          <w:color w:val="120D21"/>
          <w:sz w:val="18"/>
          <w:szCs w:val="18"/>
        </w:rPr>
        <w:t xml:space="preserve">Архив содержит определения, выносимые арбитражными судами первой, апелляционной и кассационной инстанций по вопросам, требующим решения в ходе судебного разбирательства и в других случаях, предусмотренных Арбитражным процессуальным кодексом РФ.
Предоставляется в качестве дополнительного приложения к блокам "Практика высших судебных органов", "Практика арбитражных судов округов", "Практика арбитражных апелляционных судов округов".</w:t>
      </w:r>
    </w:p>
    <w:p/>
    <w:p>
      <w:pPr/>
      <w:r>
        <w:rPr>
          <w:rFonts w:ascii="Arial" w:hAnsi="Arial" w:eastAsia="Arial" w:cs="Arial"/>
          <w:lang w:val="ru-RU"/>
          <w:color w:val="120D21"/>
          <w:sz w:val="28"/>
          <w:szCs w:val="28"/>
          <w:b w:val="1"/>
          <w:bCs w:val="1"/>
        </w:rPr>
        <w:t xml:space="preserve">Консультационные материалы</w:t>
      </w:r>
    </w:p>
    <w:p/>
    <w:p>
      <w:pPr/>
      <w:r>
        <w:rPr>
          <w:rFonts w:ascii="Arial" w:hAnsi="Arial" w:eastAsia="Arial" w:cs="Arial"/>
          <w:lang w:val="ru-RU"/>
          <w:color w:val="120D21"/>
          <w:sz w:val="20"/>
          <w:szCs w:val="20"/>
          <w:b w:val="1"/>
          <w:bCs w:val="1"/>
        </w:rPr>
        <w:t xml:space="preserve">Большая библиотека юриста</w:t>
      </w:r>
    </w:p>
    <w:p>
      <w:pPr/>
      <w:r>
        <w:rPr>
          <w:rFonts w:ascii="Arial" w:hAnsi="Arial" w:eastAsia="Arial" w:cs="Arial"/>
          <w:lang w:val="ru-RU"/>
          <w:color w:val="120D21"/>
          <w:sz w:val="18"/>
          <w:szCs w:val="18"/>
        </w:rPr>
        <w:t xml:space="preserve">Информационный блок содержит тысячи консультаций для юристов: публикации из профильных СМИ, ответы на вопросы, книги. Широкий спектр авторитетных мнений по актуальным правовым темам, аналитических материалов по спорным вопросам действующего законодательства. В блок включены также труды классиков российской правовой науки XIX-XX веков.
Комментарии к основополагающим документам по всем разделам российского законодательства (Конституция, ГК, УК, ТК РФ и др.), труды ведущих юристов, часто авторов законов, по вопросам толкования и применения различных норм права, отдельные статьи различных специалистов по актуальным проблемам права.
В информационный блок "Большая библиотека юриста" регулярно подключаются статьи из периодических изданий по праву, например:
Журнал "Административное право"
Журнал "Актуальные проблемы российского права"
Журнал "Библиотечка "Российской газеты"
Журнал "Вестник Пермского университета. Юридические науки"
Журнал "Вестник Омской юридической академии"
Журнал "Вестник экономического правосудия"
Журнал "Жилищное право"
Журнал "Журнал зарубежного законодательства и сравнительного правоведения"
Журнал "Журнал предпринимательского и корпоративного права"
Журнал "Журнал российского права"
Журнал "Журнал Суда по интеллектуальным правам"
Журнал "Закон"
Журнал "Законность"
Журнал "Законодательство"
Журнал "Законы России: опыт, анализ, практика"
Журнал "Имущественные отношения в Российской Федерации"
Журнал "Интеллектуальная собственность. Авторское право и смежные права"
Журнал "Интеллектуальная собственность. Промышленная собственность"
Газета "Новая адвокатская газета"
Журнал "Образование и право"
Журнал "Право. Журнал Высшей школы экономики
Журнал "Право и экономика"
Журнал "Российский юридический журнал"
Журнал "Российское право: образование, практика, наука"
Журнал "Судья"
Журнал "Трудовое право"
Журнал "Труды Академии управления МВД России"
Газета "ЭЖ-Юрист"
Журнал "Экономика и право. XXI век"
Журнал "Lex russica"
Журнал "KUTAFIN LAW REVIEW"
Книги, статьи из юридических СМИ и труды классиков правовой науки XIX - XX веков из серии "Классика российского правового наследия".</w:t>
      </w:r>
    </w:p>
    <w:p/>
    <w:p>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r>
        <w:rPr>
          <w:rFonts w:ascii="Arial" w:hAnsi="Arial" w:eastAsia="Arial" w:cs="Arial"/>
          <w:lang w:val="ru-RU"/>
          <w:color w:val="120D21"/>
          <w:sz w:val="18"/>
          <w:szCs w:val="18"/>
        </w:rPr>
        <w:t xml:space="preserve">Библиотека книг и периодики для бухгалтера и кадровика. 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В информационном блоке "Большая библиотека бухгалтера и кадрового работника" представлены статьи, комментарии, разъяснения, методические материалы, ответы специалистов профильных министерств, опубликованные в более чем восьмидесяти периодических изданиях для бухгалтеров и кадровиков. В блоке содержатся более 22 тысяч примеров бухгалтерских проводок.
В блок включены интерактивные путеводители по общему плану счетов, бюджетному учёту в казённых учреждениях и органах власти, бухгалтерскому учёту в бюджетных учреждениях, в автономных учреждениях, кадровому делу.
Журнал "Автономные учреждения: акты и комментарии"
Журнал "Автономные учреждения: бухучет и налогообложение"
Журнал "Актуальная бухгалтерия"
Журнал "Актуальные вопросы учета и налогообложения"
Журнал "Акты и комментарии для бухгалтера"
Журнал "Аптека: бухгалтерский учет и налогообложение"
Журнал "АУДИТОР" Журнал "Банковское обозрение"
Журнал "БДМ. Банки и деловой мир"
Журнал "БУХ.1С"
Журнал "Бухгалтерский учет в бюджетных и некоммерческих организациях"
Журнал "Бухгалтер и закон"
Журнал "Бухгалтерский учет"
Журнал "Бухгалтерский учет в издательстве и полиграфии"
Журнал "Бухгалтерия и банки"
Журнал "Бухгалтер Крыма"
Журнал "Бюджет"
Журнал "Бюджетные организации: акты и комментарии для бухгалтера"
Журнал "Бюджетные организации: бухгалтерский учет и налогообложение"
Журнал "Учреждения здравоохранения: бухгалтерский учет и налогообложение"
Журнал "Учреждения образования: бухгалтерский учет и налогообложение"
Журнал "Ревизии и проверки финансово-хозяйственной деятельности государственных (муниципальных) учреждений"
Журнал "Вестник профессиональных бухгалтеров"
Журнал "Все для бухгалтера"
Журнал "Делопроизводство"
Журнал "Жилищно-коммунальное хозяйство: бухгалтерский учет и налогообложение"
Журнал "Кадровая служба и управление персоналом предприятия"
Журнал "Казенные учреждения: акты и комментарии"
Журнал "Казенные учреждения: бухгалтерский учет и налогообложение"
Журнал "Малая бухгалтерия"
Журнал "Международный бухгалтерский учет"
Журнал "Микрофинанс+"
Журнал "Международные банковские операции"
Журнал "МСФО и МСА в кредитной организации"
Журнал "Налог на прибыль: учет доходов и расходов"
Журнал "Налоги и финансовое право"
Журнал "Налоговая политика и практика"
Журнал "Налоговый вестник"
Журнал "Налоговый учет для бухгалтера"
Журнал "НДС: проблемы и решения"
Журнал "Новая бухгалтерия"
Журнал "Нормативные акты для бухгалтера"
Журнал "Охрана и экономика труда"
Журнал "Оплата труда: акты и комментарии для бухгалтера"
Журнал "Оплата труда: бухгалтерский учет и налогообложение"
Журнал "Оплата труда в государственном (муниципальном) учреждении: акты и комментарии для бухгалтера"
Журнал "Оплата труда в государственном (муниципальном) учреждении: бухгалтерий учет и налогообложение"
Журнал "Отдел кадров государственного (муниципального) учреждения"
Журнал "Практическая бухгалтерия"
Журнал "Практический бухгалтерский учет"
Журнал "Практический бухгалтерский учет. Официальные материалы и комментарии (720 часов)"
Журнал "Предприятия общественного питания"
Журнал "Промышленность: бухгалтерский учет и налогообложение"
Журнал "Разъяснения органов исполнительной власти по ведению финансово-хозяйственной деятельности в бюджетной сфере"
Журнал "Руководитель автономного учреждения"
Журнал "Руководитель бюджетной организации"
Журнал "Российский бухгалтер"
Журнал "Силовые министерства и ведомства: бухгалтерский учет и налогообложение"
Журнал "Строительство: акты и комментарии для бухгалтера"
Журнал "Строительство: бухгалтерский учет и налогообложение"
Журнал "Торговля: бухгалтерский учет и налогообложение"
Журнал "Трудовое право"
Журнал "Транспортные услуги: бухгалтерский учет и налогообложение"
Журнал "Туристические и гостиничные услуги: бухгалтерский учет и налогообложение"
Журнал "Управление персоналом"
Журнал "Упрощенная система налогообложения: бухгалтерский учет и налогообложение"
Журнал "Услуги связи: бухгалтерский учет и налогообложение"
Журнал "Учет и контроль"
Журнал "Учреждения культуры и искусства: бухгалтерский учет и налогообложение"
Журнал "Учреждения физической культуры и спорта: бухгалтерский учет и налогообложение"
Газета "Финансовая газета"
Журнал "Финансы"
Журнал "Финансовый вестник: финансы, налоги, страхование, бухгалтерский учет"
Журнал "Экономико-правовой бюллетень"
Журнал "ЭЖ Вопрос-Ответ"</w:t>
      </w:r>
    </w:p>
    <w:p/>
    <w:p>
      <w:pPr/>
      <w:r>
        <w:rPr>
          <w:rFonts w:ascii="Arial" w:hAnsi="Arial" w:eastAsia="Arial" w:cs="Arial"/>
          <w:lang w:val="ru-RU"/>
          <w:color w:val="120D21"/>
          <w:sz w:val="28"/>
          <w:szCs w:val="28"/>
          <w:b w:val="1"/>
          <w:bCs w:val="1"/>
        </w:rPr>
        <w:t xml:space="preserve">Специализированные блоки</w:t>
      </w:r>
    </w:p>
    <w:p/>
    <w:p>
      <w:pPr/>
      <w:r>
        <w:rPr>
          <w:rFonts w:ascii="Arial" w:hAnsi="Arial" w:eastAsia="Arial" w:cs="Arial"/>
          <w:lang w:val="ru-RU"/>
          <w:color w:val="120D21"/>
          <w:sz w:val="20"/>
          <w:szCs w:val="20"/>
          <w:b w:val="1"/>
          <w:bCs w:val="1"/>
        </w:rPr>
        <w:t xml:space="preserve">Толковый словарь «Бизнес и право»</w:t>
      </w:r>
    </w:p>
    <w:p>
      <w:pPr/>
      <w:r>
        <w:rPr>
          <w:rFonts w:ascii="Arial" w:hAnsi="Arial" w:eastAsia="Arial" w:cs="Arial"/>
          <w:lang w:val="ru-RU"/>
          <w:color w:val="120D21"/>
          <w:sz w:val="18"/>
          <w:szCs w:val="18"/>
        </w:rPr>
        <w:t xml:space="preserve">Большой толковый словарь деловой терминологии. Содержит термины и понятия из области правовых и экономических отношений с подробными их толкованиями. Для некоторых терминов приведены переводы на 5 основных языках - английском, немецком, французском, итальянском и испанском.</w:t>
      </w:r>
    </w:p>
    <w:p/>
    <w:p>
      <w:pPr/>
      <w:r>
        <w:rPr>
          <w:rFonts w:ascii="Arial" w:hAnsi="Arial" w:eastAsia="Arial" w:cs="Arial"/>
          <w:lang w:val="ru-RU"/>
          <w:color w:val="120D21"/>
          <w:sz w:val="20"/>
          <w:szCs w:val="20"/>
          <w:b w:val="1"/>
          <w:bCs w:val="1"/>
        </w:rPr>
        <w:t xml:space="preserve">Энциклопедия. Законодательство в схемах</w:t>
      </w:r>
    </w:p>
    <w:p>
      <w:pPr/>
      <w:r>
        <w:rPr>
          <w:rFonts w:ascii="Arial" w:hAnsi="Arial" w:eastAsia="Arial" w:cs="Arial"/>
          <w:lang w:val="ru-RU"/>
          <w:color w:val="120D21"/>
          <w:sz w:val="18"/>
          <w:szCs w:val="18"/>
        </w:rPr>
        <w:t xml:space="preserve">Интерактивные схемы, построенные с использованием современных флеш-технологий, помогут быстро разобраться в самых трудных правовых вопросах. Законодательство в схемах - разъяснительные материалы. Доступное и наглядное изложение, анимация, всплывающие подсказки и комментарии помогут сэкономить время и быстро понять суть разъяснений. Регулярная актуализация и пополнение.</w:t>
      </w:r>
    </w:p>
    <w:p/>
    <w:p>
      <w:pPr/>
      <w:r>
        <w:rPr>
          <w:rFonts w:ascii="Arial" w:hAnsi="Arial" w:eastAsia="Arial" w:cs="Arial"/>
          <w:lang w:val="ru-RU"/>
          <w:color w:val="120D21"/>
          <w:sz w:val="20"/>
          <w:szCs w:val="20"/>
          <w:b w:val="1"/>
          <w:bCs w:val="1"/>
        </w:rPr>
        <w:t xml:space="preserve">Энциклопедия. Формы правовых документов</w:t>
      </w:r>
    </w:p>
    <w:p>
      <w:pPr/>
      <w:r>
        <w:rPr>
          <w:rFonts w:ascii="Arial" w:hAnsi="Arial" w:eastAsia="Arial" w:cs="Arial"/>
          <w:lang w:val="ru-RU"/>
          <w:color w:val="120D21"/>
          <w:sz w:val="18"/>
          <w:szCs w:val="18"/>
        </w:rPr>
        <w:t xml:space="preserve">Уникальный блок содержит разработанные юристами-практиками формы различных документов, используемых в сфере гражданско-правовых отношений, процессуальных вопросах при обращениях в суд, регулирующих трудовую деятельность работника и работодателя, образцы локальных актов организаций, типовые отчетные формы и бланки документов, представляемые в государственные органы. В актуализируемую энциклопедию регулярно включаются новые формы.</w:t>
      </w:r>
    </w:p>
    <w:p/>
    <w:p>
      <w:pPr/>
      <w:r>
        <w:rPr>
          <w:rFonts w:ascii="Arial" w:hAnsi="Arial" w:eastAsia="Arial" w:cs="Arial"/>
          <w:lang w:val="ru-RU"/>
          <w:color w:val="120D21"/>
          <w:sz w:val="20"/>
          <w:szCs w:val="20"/>
          <w:b w:val="1"/>
          <w:bCs w:val="1"/>
        </w:rPr>
        <w:t xml:space="preserve">ГАРАНТ-Инфарм</w:t>
      </w:r>
    </w:p>
    <w:p>
      <w:pPr/>
      <w:r>
        <w:rPr>
          <w:rFonts w:ascii="Arial" w:hAnsi="Arial" w:eastAsia="Arial" w:cs="Arial"/>
          <w:lang w:val="ru-RU"/>
          <w:color w:val="120D21"/>
          <w:sz w:val="18"/>
          <w:szCs w:val="18"/>
        </w:rPr>
        <w:t xml:space="preserve">Объединяет перечни лекарственных средств и фармацептических субстанций,характеристики, полное описание и применения препаратов. Содержит медецинские термины, реквезиты российских изарубежных х фирм-производителей и список
выпускаемых ими препаратов. Справочник является актуальным
отображением Государственного реестра лекарственных средств и
обновляется согласно данным Минздравсоцразвития РФ. В блоке содержатся Акты органов власти по финансированию
и организации здравоохранения, медицинскому страхованию,
лицензированию, контролю экспертизы и качества лекарственных
средств, стандартам оказания медицинской помощи, правовому
регулированию предоставления платных медицинских услуг. Формы
отчетной и учетной медицинской документации, практические статьи
и комментарии ведущих экспертов по медицинскому
законодательству из тематических изданий, и экспертов службы ПК
ГАРАНТ</w:t>
      </w:r>
    </w:p>
    <w:p/>
    <w:p>
      <w:pPr/>
      <w:r>
        <w:rPr>
          <w:rFonts w:ascii="Arial" w:hAnsi="Arial" w:eastAsia="Arial" w:cs="Arial"/>
          <w:lang w:val="ru-RU"/>
          <w:color w:val="120D21"/>
          <w:sz w:val="20"/>
          <w:szCs w:val="20"/>
          <w:b w:val="1"/>
          <w:bCs w:val="1"/>
        </w:rPr>
        <w:t xml:space="preserve">Справочник нормативно-технической документации по строительству</w:t>
      </w:r>
    </w:p>
    <w:p>
      <w:pPr/>
      <w:r>
        <w:rPr>
          <w:rFonts w:ascii="Arial" w:hAnsi="Arial" w:eastAsia="Arial" w:cs="Arial"/>
          <w:lang w:val="ru-RU"/>
          <w:color w:val="120D21"/>
          <w:sz w:val="18"/>
          <w:szCs w:val="18"/>
        </w:rPr>
        <w:t xml:space="preserve">В блок входит нормативно-техническая документация, используемая в строительстве:  СНиП, ЕниРы, СНиР-91 Р, ГЭСН-2001, ГЭСНр-2001, ТОИ;  Другие виды нормативно-технической документации – наиболее важные СП, СанПины, ГОСТы, РДС и др. Также блок включает Акты органов власти федерального значения в области строительства, рекомендации специалистов министерств и ведомств, судебная и арбитражная практика, международные соглашения и формы документов.</w:t>
      </w:r>
    </w:p>
    <w:p/>
    <w:p>
      <w:pPr/>
      <w:r>
        <w:rPr>
          <w:rFonts w:ascii="Arial" w:hAnsi="Arial" w:eastAsia="Arial" w:cs="Arial"/>
          <w:lang w:val="ru-RU"/>
          <w:color w:val="120D21"/>
          <w:sz w:val="20"/>
          <w:szCs w:val="20"/>
          <w:b w:val="1"/>
          <w:bCs w:val="1"/>
        </w:rPr>
        <w:t xml:space="preserve">Справочник промышленника</w:t>
      </w:r>
    </w:p>
    <w:p>
      <w:pPr/>
      <w:r>
        <w:rPr>
          <w:rFonts w:ascii="Arial" w:hAnsi="Arial" w:eastAsia="Arial" w:cs="Arial"/>
          <w:lang w:val="ru-RU"/>
          <w:color w:val="120D21"/>
          <w:sz w:val="18"/>
          <w:szCs w:val="18"/>
        </w:rPr>
        <w:t xml:space="preserve">Блок «Справочник промышленника»в системах ГАРАНТ включает в себя более 99 000 документов в области технического регулирования, охраны труда,метрологического обеспечения, экологии и промышленной безопасности (ГОСТы, ПБ, РД, СанПиНы, ТОИ и другие нормативы).Блок состоит из 5 разделов:
Раздел 1. Справочник по техническому регулированию и стандартизации;
Раздел 2. Справочник по охране труда;
Раздел 3. Справочник по метрологическому обеспечению;
Раздел 4. Справочник по экологии и охране окружающей среды;
Раздел 5. Справочник по промышленной безопасности.</w:t>
      </w:r>
    </w:p>
    <w:p/>
    <w:p>
      <w:pPr/>
      <w:r>
        <w:rPr>
          <w:rFonts w:ascii="Arial" w:hAnsi="Arial" w:eastAsia="Arial" w:cs="Arial"/>
          <w:lang w:val="ru-RU"/>
          <w:color w:val="120D21"/>
          <w:sz w:val="20"/>
          <w:szCs w:val="20"/>
          <w:b w:val="1"/>
          <w:bCs w:val="1"/>
        </w:rPr>
        <w:t xml:space="preserve">Справочник по охране труда</w:t>
      </w:r>
    </w:p>
    <w:p>
      <w:pPr/>
      <w:r>
        <w:rPr>
          <w:rFonts w:ascii="Arial" w:hAnsi="Arial" w:eastAsia="Arial" w:cs="Arial"/>
          <w:lang w:val="ru-RU"/>
          <w:color w:val="120D21"/>
          <w:sz w:val="18"/>
          <w:szCs w:val="18"/>
        </w:rPr>
        <w:t xml:space="preserve">Информационный блок «Справочник по охране труда» в системах ГАРАНТ призван помочь разобраться в том, как соблюсти правила охраны труда. В него включено более 15 тысяч документов по охране труда и социальной безопасности: правовые акты, стандарты, методические рекомендации, санитарные правила и нормы – то есть весь комплекс норм и стандартов для организации системы управления охраной труда на предприятии.В частности, в Справочнике собраны документы по темам: Организация работы по охране труда в организации, принципы нормирования опасных и вредных производственных факторов и меры защиты от их воздействия, требования безопасности к производственным процессам, оборудованию и отдельным видам работ, обеспечение пожарной безопасности в организации, Внедрение и обеспечение функционирования системы управления охраной труда (СУОТ)</w:t>
      </w:r>
    </w:p>
    <w:p/>
    <w:p>
      <w:pPr/>
      <w:r>
        <w:rPr>
          <w:rFonts w:ascii="Arial" w:hAnsi="Arial" w:eastAsia="Arial" w:cs="Arial"/>
          <w:lang w:val="ru-RU"/>
          <w:color w:val="120D21"/>
          <w:sz w:val="20"/>
          <w:szCs w:val="20"/>
          <w:b w:val="1"/>
          <w:bCs w:val="1"/>
        </w:rPr>
        <w:t xml:space="preserve">Справочник по техническому регулированию и стандартизации</w:t>
      </w:r>
    </w:p>
    <w:p>
      <w:pPr/>
      <w:r>
        <w:rPr>
          <w:rFonts w:ascii="Arial" w:hAnsi="Arial" w:eastAsia="Arial" w:cs="Arial"/>
          <w:lang w:val="ru-RU"/>
          <w:color w:val="120D21"/>
          <w:sz w:val="18"/>
          <w:szCs w:val="18"/>
        </w:rPr>
        <w:t xml:space="preserve">Содержит крупнейшую подборку государственных стандартов России, затрагивающих различные вопросы осуществления деятельности предприятий нефтегазового комплекса, электроэнергетики, организации строительства и строительного производства, пищевой и других сфер промышленности, и иные документы по стандартизации.Работая  с нормативно-техническими документами (НТД) и остальными документами (правовыми актами, аналитикой, судебной практикой и т.п.) в едином информационном пространстве, вы можете изучить тексты ГОСТов, изменения и поправки к ним, ознакомиться со схемами преемственности для предшествующих и вновь принятых норм и стандартов с возможностью перехода к каждому документу и к актуальному на сегодняшний день нормативу, проследить юридические связи документов с нормативными актами, узнать о судебной практике применения стандартов и обратиться к консультационным материалам по теме. Документы, которые содержат множество рисунков, формул, схем и чертежей, для точности представлены в формате отсканированных копий с возможностью поиска по графическим копиям с точностью до слова и с учетом морфологии.</w:t>
      </w:r>
    </w:p>
    <w:p/>
    <w:p>
      <w:pPr/>
      <w:r>
        <w:rPr>
          <w:rFonts w:ascii="Arial" w:hAnsi="Arial" w:eastAsia="Arial" w:cs="Arial"/>
          <w:lang w:val="ru-RU"/>
          <w:color w:val="120D21"/>
          <w:sz w:val="28"/>
          <w:szCs w:val="28"/>
          <w:b w:val="1"/>
          <w:bCs w:val="1"/>
        </w:rPr>
        <w:t xml:space="preserve">Без дополнительной оплаты</w:t>
      </w:r>
    </w:p>
    <w:p/>
    <w:p>
      <w:pPr/>
      <w:r>
        <w:rPr>
          <w:rFonts w:ascii="Arial" w:hAnsi="Arial" w:eastAsia="Arial" w:cs="Arial"/>
          <w:lang w:val="ru-RU"/>
          <w:color w:val="120D21"/>
          <w:sz w:val="20"/>
          <w:szCs w:val="20"/>
          <w:b w:val="1"/>
          <w:bCs w:val="1"/>
        </w:rPr>
        <w:t xml:space="preserve">ПРАЙМ</w:t>
      </w:r>
    </w:p>
    <w:p>
      <w:pPr/>
      <w:r>
        <w:rPr>
          <w:rFonts w:ascii="Arial" w:hAnsi="Arial" w:eastAsia="Arial" w:cs="Arial"/>
          <w:lang w:val="ru-RU"/>
          <w:color w:val="120D21"/>
          <w:sz w:val="18"/>
          <w:szCs w:val="18"/>
        </w:rPr>
        <w:t xml:space="preserve">ПРАЙМ- это услуга, позволяющая клиенту быть в курсе новостей в законодательстве в интересующей его профессиональной области (эти области клиент указывает в специальной  нкете): 
- новостная лента ПРАЙМ — индивидуально подобранные новости ежедневно приходят в систему и на электронную почту
 - аннотации к документам
- возможность построить обзор изменений законодательства</w:t>
      </w:r>
    </w:p>
    <w:p/>
    <w:p>
      <w:pPr/>
      <w:r>
        <w:rPr>
          <w:rFonts w:ascii="Arial" w:hAnsi="Arial" w:eastAsia="Arial" w:cs="Arial"/>
          <w:lang w:val="ru-RU"/>
          <w:color w:val="120D21"/>
          <w:sz w:val="20"/>
          <w:szCs w:val="20"/>
          <w:b w:val="1"/>
          <w:bCs w:val="1"/>
        </w:rPr>
        <w:t xml:space="preserve">Архивы ГАРАНТа</w:t>
      </w:r>
    </w:p>
    <w:p>
      <w:pPr/>
      <w:r>
        <w:rPr>
          <w:rFonts w:ascii="Arial" w:hAnsi="Arial" w:eastAsia="Arial" w:cs="Arial"/>
          <w:lang w:val="ru-RU"/>
          <w:color w:val="120D21"/>
          <w:sz w:val="18"/>
          <w:szCs w:val="18"/>
        </w:rPr>
        <w:t xml:space="preserve">Информационный правовой блок "Архивы ГАРАНТа. Россия" содержит узковедомственные отраслевые документы, редкие нормативные акты, организационные и индивидуальные нормативные акты. По состоянию на март 2023 года этот блок содержит свыше 348 000 документов.</w:t>
      </w:r>
    </w:p>
    <w:p/>
    <w:p>
      <w:pPr/>
      <w:r>
        <w:rPr>
          <w:rFonts w:ascii="Arial" w:hAnsi="Arial" w:eastAsia="Arial" w:cs="Arial"/>
          <w:lang w:val="ru-RU"/>
          <w:color w:val="120D21"/>
          <w:sz w:val="20"/>
          <w:szCs w:val="20"/>
          <w:b w:val="1"/>
          <w:bCs w:val="1"/>
        </w:rPr>
        <w:t xml:space="preserve">Большая домашняя правовая энциклопедия</w:t>
      </w:r>
    </w:p>
    <w:p>
      <w:pPr/>
      <w:r>
        <w:rPr>
          <w:rFonts w:ascii="Arial" w:hAnsi="Arial" w:eastAsia="Arial" w:cs="Arial"/>
          <w:lang w:val="ru-RU"/>
          <w:color w:val="120D21"/>
          <w:sz w:val="18"/>
          <w:szCs w:val="18"/>
        </w:rPr>
        <w:t xml:space="preserve">«Большая домашняя правовая энциклопедия» - уникальный продукт, доступный каждому пользователю системы ГАРАНТ без дополнительной платы. Здесь приводятся ответы на вопросы, возникающие в быту. Все, что нужно знать каждому для защиты своих прав - ответы на тысячи вопросов, возникающих в повседневной жизни, вы найдете в системе ГАРАНТ.
Информационный блок «Большая домашняя правовая энциклопедия» в системах ГАРАНТ - это актуализируемый аналитический материал, охватывающий все стороны жизни современного человека: дом, семья, дети и их обучение, работа и отдых, медицина, недвижимость, оформление наследства, банковские счета и налоги, заключение различных договоров и сделок, защита прав потребителей, обращение в суд, помощь адвокатов и многое другое. Энциклопедия отличается большим количеством вопросов-ответов по реальным бытовым ситуациям и практических примеров, в том числе из судебной практики. Вопросы-ответы подключаются из «Базы знаний службы Правового консалтинга» и с сайта Правовед.RU.</w:t>
      </w:r>
    </w:p>
    <w:p/>
    <w:p>
      <w:pPr/>
      <w:r>
        <w:rPr>
          <w:rFonts w:ascii="Arial" w:hAnsi="Arial" w:eastAsia="Arial" w:cs="Arial"/>
          <w:lang w:val="ru-RU"/>
          <w:color w:val="120D21"/>
          <w:sz w:val="20"/>
          <w:szCs w:val="20"/>
          <w:b w:val="1"/>
          <w:bCs w:val="1"/>
        </w:rPr>
        <w:t xml:space="preserve">База знаний службы правового консалтинга</w:t>
      </w:r>
    </w:p>
    <w:p>
      <w:pPr/>
      <w:r>
        <w:rPr>
          <w:rFonts w:ascii="Arial" w:hAnsi="Arial" w:eastAsia="Arial" w:cs="Arial"/>
          <w:lang w:val="ru-RU"/>
          <w:color w:val="120D21"/>
          <w:sz w:val="18"/>
          <w:szCs w:val="18"/>
        </w:rPr>
        <w:t xml:space="preserve">На основе многолетнего практического опыта работы экспертов службы Правового консалтинга сформирована и постоянно пополняется база знаний, которая включает десятки тысяч готовых решений по самым различным вопросам. Ежемесячно в базу подключается более 500 новых заключений. По состоянию на март 2023 года в блоке «База знаний службы Правового консалтинга» содержится более 138 000 подробных персональных экспертных заключений по заданным пользователями вопросам.</w:t>
      </w:r>
    </w:p>
    <w:p/>
    <w:p>
      <w:pPr/>
      <w:r>
        <w:rPr>
          <w:rFonts w:ascii="Arial" w:hAnsi="Arial" w:eastAsia="Arial" w:cs="Arial"/>
          <w:lang w:val="ru-RU"/>
          <w:color w:val="120D21"/>
          <w:sz w:val="20"/>
          <w:szCs w:val="20"/>
          <w:b w:val="1"/>
          <w:bCs w:val="1"/>
        </w:rPr>
        <w:t xml:space="preserve">ГАРАНТ Консалтинг: нормативные акты и судебная практика</w:t>
      </w:r>
    </w:p>
    <w:p>
      <w:pPr/>
      <w:r>
        <w:rPr>
          <w:rFonts w:ascii="Arial" w:hAnsi="Arial" w:eastAsia="Arial" w:cs="Arial"/>
          <w:lang w:val="ru-RU"/>
          <w:color w:val="120D21"/>
          <w:sz w:val="18"/>
          <w:szCs w:val="18"/>
        </w:rPr>
        <w:t xml:space="preserve">Специальный блок, который содержит документы, на которые ссылаются эксперты в консультациях: федеральные и региональные нормативно-правовые акты, судебная практика.</w:t>
      </w:r>
    </w:p>
    <w:p/>
    <w:p>
      <w:pPr/>
      <w:r>
        <w:rPr>
          <w:rFonts w:ascii="Arial" w:hAnsi="Arial" w:eastAsia="Arial" w:cs="Arial"/>
          <w:lang w:val="ru-RU"/>
          <w:color w:val="120D21"/>
          <w:sz w:val="28"/>
          <w:szCs w:val="28"/>
          <w:b w:val="1"/>
          <w:bCs w:val="1"/>
        </w:rPr>
        <w:t xml:space="preserve">Энциклопедии решений</w:t>
      </w:r>
    </w:p>
    <w:p/>
    <w:p>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r>
        <w:rPr>
          <w:rFonts w:ascii="Arial" w:hAnsi="Arial" w:eastAsia="Arial" w:cs="Arial"/>
          <w:lang w:val="ru-RU"/>
          <w:color w:val="120D21"/>
          <w:sz w:val="18"/>
          <w:szCs w:val="18"/>
        </w:rPr>
        <w:t xml:space="preserve">Блок "Энциклопедия решений. Проверки организаций и предпринимателей" представляет собой подборку материалов, в которых рассмотрены основные вопросы, возникающие в ходе проведения проверок контрольными органами деятельности организаций и индивидуальных предпринимателей.
Содержит рекомендации по подготовке к проверкам и по действиям при их проведении. В каждом разделе присутствует подробное описание процедур, действий и правил поведения в той или иной ситуации.
Вся информация изложена доступным и понятным языком. Блок регулярно актуализируется и пополняется новыми материалами. Все консультационные материалы Энциклопедии соответствуют действующему законодательству, составлены с учетом судебной практики и опираются на позицию органов государственной власти и сложившуюся правоприменительную практику. В Энциклопедию входят материалы из информационного блока "Энциклопедия судебной практики. Правовые позиции судов".
Энциклопедия рассматривает следующие темы:
Налоговые проверки;
Проверки ПФР и ФСС РФ плательщиков страховых взносов;
Проверки трудовой инспекцией;
Проверки органами федерального государственного пожарного надзора;
Проверки соблюдения работодателями правил квотирования рабочих мест для инвалидов, молодежи и иных лиц;
Проверки, осуществляемые антимонопольной службой в сфере рекламы;
Прокурорские проверки.
Проверки Федеральной службой по регулированию алкогольного рынка
Проверки Федеральной миграционной службой
Государственный надзор, осуществляемый Роспотребнадзором: субъекты проверок, к кому и зачем приходит Роспотребнадзор?</w:t>
      </w:r>
    </w:p>
    <w:p/>
    <w:p>
      <w:pPr/>
      <w:r>
        <w:rPr>
          <w:rFonts w:ascii="Arial" w:hAnsi="Arial" w:eastAsia="Arial" w:cs="Arial"/>
          <w:lang w:val="ru-RU"/>
          <w:color w:val="120D21"/>
          <w:sz w:val="20"/>
          <w:szCs w:val="20"/>
          <w:b w:val="1"/>
          <w:bCs w:val="1"/>
        </w:rPr>
        <w:t xml:space="preserve">Энциклопедия решений.Госсектор: учет, отчетность, финконтроль</w:t>
      </w:r>
    </w:p>
    <w:p>
      <w:pPr/>
      <w:r>
        <w:rPr>
          <w:rFonts w:ascii="Arial" w:hAnsi="Arial" w:eastAsia="Arial" w:cs="Arial"/>
          <w:lang w:val="ru-RU"/>
          <w:color w:val="120D21"/>
          <w:sz w:val="18"/>
          <w:szCs w:val="18"/>
        </w:rPr>
        <w:t xml:space="preserve">В блоке "Энциклопедия решений. Госсектор: учет, отчетность, финконтроль" представлены аналитические материалы, предлагающие практические рекомендации по решению наиболее значимых и актуальных задач, стоящих в настоящее время перед специалистами организаций государственного сектора.
Правовые позиции финансовых органов, органов казначейства, главных распорядителей (распорядителей) бюджетных средств (учредителей) и контролирующих органов по вопросам применения действующего законодательства (в том числе бюджетного) могут существенно отличаться. В подобных условиях очень важно, чтобы вы имели возможность сформировать собственную правовую позицию по конкретному вопросу, учитывая все риски, существующие на момент принятия определенного решения. Оценить риски помогут соответствующие материалы, содержащиеся в Энциклопедии.
Материалы блока тесно увязаны с интерактивными путеводителями по бюджетному учету в казенных учреждениях и органах власти, по бухгалтерскому учету в бюджетных учреждениях и по бухгалтерскому учету в автономных учреждениях. В Путеводителях в наглядном, систематизированном виде представлена дополнительная информация, которая может понадобиться бухгалтеру.
Блок "Энциклопедия решений. Госсектор: учет, отчетность, финконтроль" включает в себя следующие материалы:
Правовые и финансовые аспекты деятельности организаций госсектора
Договоры и иные сделки в госучреждениях
Бухгалтерский учет в госучреждениях
Бухгалтерская отчетность бюджетных и автономных учреждений
Бюджетная классификация Российской Федерации
Налоги и взносы в госучреждениях
Финансовый контроль.</w:t>
      </w:r>
    </w:p>
    <w:p/>
    <w:p>
      <w:pPr/>
      <w:r>
        <w:rPr>
          <w:rFonts w:ascii="Arial" w:hAnsi="Arial" w:eastAsia="Arial" w:cs="Arial"/>
          <w:lang w:val="ru-RU"/>
          <w:color w:val="120D21"/>
          <w:sz w:val="20"/>
          <w:szCs w:val="20"/>
          <w:b w:val="1"/>
          <w:bCs w:val="1"/>
        </w:rPr>
        <w:t xml:space="preserve">Энциклопедия решений. Хозяйственные ситуации</w:t>
      </w:r>
    </w:p>
    <w:p>
      <w:pPr/>
      <w:r>
        <w:rPr>
          <w:rFonts w:ascii="Arial" w:hAnsi="Arial" w:eastAsia="Arial" w:cs="Arial"/>
          <w:lang w:val="ru-RU"/>
          <w:color w:val="120D21"/>
          <w:sz w:val="18"/>
          <w:szCs w:val="18"/>
        </w:rPr>
        <w:t xml:space="preserve">Готовые решения наиболее острых вопросов, возникающих в
деятельности любого предприятия. В Энциклопедии каждая ситуация рассматривается с различных точек зрения и сопровождается всей
необходимой информацией: аналитическими материалами, наглядными примерами, типовыми бухгалтерскими проводками, ссылками на
арбитражную практику и письма контролирующих органов, позволяющих проанализировать возможные экономические и правовые риски,
примерами заполнения форм документов. Все это позволяет быстро найти ответ практически на любой вопрос и спланировать
дальнейшие действия. Все представленные в Энциклопедии материалы подготовлены экспертами службы Правового консалтинга
ГАРАНТ и основаны на обобщении их многолетнего практического опыта. Именно ежедневная работа с реальными запросами клиентов
позволила составить подборку актуальных и сугубо практических ситуаций, решения по которым востребованы специалистами любого
предприятия. Все представленные в Энциклопедии решения постоянно поддерживаются в актуальном состоянии, что гарантирует их
соответствие действующему законодательству и позволяет применять их без какой-либо дополнительной проверки.</w:t>
      </w:r>
    </w:p>
    <w:p/>
    <w:p>
      <w:pPr/>
      <w:r>
        <w:rPr>
          <w:rFonts w:ascii="Arial" w:hAnsi="Arial" w:eastAsia="Arial" w:cs="Arial"/>
          <w:lang w:val="ru-RU"/>
          <w:color w:val="120D21"/>
          <w:sz w:val="20"/>
          <w:szCs w:val="20"/>
          <w:b w:val="1"/>
          <w:bCs w:val="1"/>
        </w:rPr>
        <w:t xml:space="preserve">Энциклопедия решений. Госзакупки</w:t>
      </w:r>
    </w:p>
    <w:p>
      <w:pPr/>
      <w:r>
        <w:rPr>
          <w:rFonts w:ascii="Arial" w:hAnsi="Arial" w:eastAsia="Arial" w:cs="Arial"/>
          <w:lang w:val="ru-RU"/>
          <w:color w:val="120D21"/>
          <w:sz w:val="18"/>
          <w:szCs w:val="18"/>
        </w:rPr>
        <w:t xml:space="preserve">Основу блока составили документы, подготовленные специально для компании "Гарант". В блоке представлены нормативные акты, разъяснения и комментарии, административная практика, судебная практика и примерные формы документов. Размещенные в блоке материалы интересны обеим сторонам процесса госзаказа - и заказчикам, и поставщикам. Материалы блока всегда актуальны и готовы к применению без дополнительной проверки. Интерактивная технология позволяет создавать уникальные по своему удобству и дизайну страницы, на которых вся информация доступна в рамках одного экрана - достаточно просто кликнуть мышью по интересующему пункту.</w:t>
      </w:r>
    </w:p>
    <w:p/>
    <w:p>
      <w:pPr/>
      <w:r>
        <w:rPr>
          <w:rFonts w:ascii="Arial" w:hAnsi="Arial" w:eastAsia="Arial" w:cs="Arial"/>
          <w:lang w:val="ru-RU"/>
          <w:color w:val="120D21"/>
          <w:sz w:val="20"/>
          <w:szCs w:val="20"/>
          <w:b w:val="1"/>
          <w:bCs w:val="1"/>
        </w:rPr>
        <w:t xml:space="preserve">Энциклопедия решений. Трудовые отношения, кадры</w:t>
      </w:r>
    </w:p>
    <w:p>
      <w:pPr/>
      <w:r>
        <w:rPr>
          <w:rFonts w:ascii="Arial" w:hAnsi="Arial" w:eastAsia="Arial" w:cs="Arial"/>
          <w:lang w:val="ru-RU"/>
          <w:color w:val="120D21"/>
          <w:sz w:val="18"/>
          <w:szCs w:val="18"/>
        </w:rPr>
        <w:t xml:space="preserve">Блок состоит из отдельных решений по кадровой тематике. Система подачи материала такова, что каждый текст с помощью ссылок связан с другими текстами.
Все материалы представляют собой не только систематизированное изложение правовых норм, но и их практический комментарий. В решениях цитирование законодательства сведено к минимуму, а его толкование приводится во всех случаях, когда это необходимо. Авторы приводят свою точку зрения в тех ситуациях, когда прямого ответа на вопрос нет в законодательстве.
Все выводы сопровождаются обоснованием, содержащим ссылки на нормативные акты, разъяснительные письма ОГВ, арбитражную практику и, что особенно важно в рамках кадровой тематики, практику судов общей юрисдикции, которым подведомственны трудовые споры.
В Энциклопедии много формул, примеров, схем и таблиц. С их помощью информация воспринимается легко, решения принимаются быстро, а знания систематизируются. В Энциклопедию входят материалы из информационного блока "Энциклопедия судебной практики. Правовые позиции судов".
В Энциклопедии представлены аналитические материалы по следующим темам:
- Прекращение трудового договора (увольнение);
- Совместительство;
- Совмещение и другие виды дополнительной работы;
- Рабочее время;
- Время отдыха;
- Сверхурочная работа, работа в ночное время, выходные и праздники;
- Заработная плата;
- Средний заработок для случаев, предусмотренных ТК РФ;
- Пособия работникам;
- Служебная командировка;
- Дисциплинарная ответственность;
- Стаж;
- Проверки трудовой инспекцией;
- и другие.
Пользователям блока Энциклопедия решений. Трудовые отношения, кадры доступен
раздел, посвященный сбору и обработке персональных данных. Здесь можно найти
информацию о принципах и условиях такой обработки, в том числе узнать об особенностях
обработки специальных категорий персональных данных, о правах субъекта персональных
данных, а также ознакомиться с информацией о проверках Роскомнадзором исполнения
требований в данной области.</w:t>
      </w:r>
    </w:p>
    <w:p/>
    <w:p>
      <w:pPr/>
      <w:r>
        <w:rPr>
          <w:rFonts w:ascii="Arial" w:hAnsi="Arial" w:eastAsia="Arial" w:cs="Arial"/>
          <w:lang w:val="ru-RU"/>
          <w:color w:val="120D21"/>
          <w:sz w:val="20"/>
          <w:szCs w:val="20"/>
          <w:b w:val="1"/>
          <w:bCs w:val="1"/>
        </w:rPr>
        <w:t xml:space="preserve">Энциклопедия решений. Налоги и взносы</w:t>
      </w:r>
    </w:p>
    <w:p>
      <w:pPr/>
      <w:r>
        <w:rPr>
          <w:rFonts w:ascii="Arial" w:hAnsi="Arial" w:eastAsia="Arial" w:cs="Arial"/>
          <w:lang w:val="ru-RU"/>
          <w:color w:val="120D21"/>
          <w:sz w:val="18"/>
          <w:szCs w:val="18"/>
        </w:rPr>
        <w:t xml:space="preserve">Блок "Энциклопедия решений. Налоги и взносы" представляет собой набор актуальных экспертных комментариев к положениям налогового законодательства РФ. Энциклопедия состоит из аналитических статей, в каждой из которых рассмотрен отдельный вопрос налогообложения.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материалы из базы знаний Правового консалтинга, иллюстрирующие применение конкретных норм, а также примеры заполнения форм документов.
В блоке "Энциклопедия решений. Налоги и взносы" представлены аналитические материалы по темам:
- Налог на добавленную стоимость;
- Налог на доходы физических лиц;
- Налог на прибыль организаций;
- Единый сельскохозяйственный налог;
- Упрощенная система налогообложения;
- Единый налог на вмененный доход;
- Транспортный налог;
- Налог на имущество организаций;
- Земельный налог;
- Налог на имущество физических лиц;
- Взносы на обязательное социальное страхование;
- Налоговые проверки;
- Ответственность за совершение налогового правонарушения;
- Обжалование актов налоговых органов, действий или бездействия их должностных лиц;
- и другие.</w:t>
      </w:r>
    </w:p>
    <w:p/>
    <w:p>
      <w:pPr/>
      <w:r>
        <w:rPr>
          <w:rFonts w:ascii="Arial" w:hAnsi="Arial" w:eastAsia="Arial" w:cs="Arial"/>
          <w:lang w:val="ru-RU"/>
          <w:color w:val="120D21"/>
          <w:sz w:val="20"/>
          <w:szCs w:val="20"/>
          <w:b w:val="1"/>
          <w:bCs w:val="1"/>
        </w:rPr>
        <w:t xml:space="preserve">Энциклопедия решений. Договоры и иные сделки</w:t>
      </w:r>
    </w:p>
    <w:p>
      <w:pPr/>
      <w:r>
        <w:rPr>
          <w:rFonts w:ascii="Arial" w:hAnsi="Arial" w:eastAsia="Arial" w:cs="Arial"/>
          <w:lang w:val="ru-RU"/>
          <w:color w:val="120D21"/>
          <w:sz w:val="18"/>
          <w:szCs w:val="18"/>
        </w:rPr>
        <w:t xml:space="preserve">Используя в работе материалы, представленные в блоке, вы всегда будете знать, какие тонкости необходимо учитывать при выборе модели договорных правоотношений, на что следует обращать особое внимание при составлении текста договора.
В блоке содержатся материалы о часто используемых гражданско-правовых договорах, применяемых как в предпринимательской деятельности, так и в отношениях между гражданами.
Помимо общей характеристики договоров рассматриваются особенности их различных видов, освещаются проблемы, связанные с исполнением этих договоров, и предлагаются пути их решения, приводятся практические рекомендации. Здесь можно найти и актуальные формы всех представленных в блоке договоров, а также сопутствующие им документы (акты, уведомления, претензии и т.д.).
В блоке содержатся материалы, дающие базовые сведения о гражданско-правовых договорах, а также о порядке и формах осуществления расчетов между контрагентами. Такая информация будет необходима любому субъекту, имеющему намерение вступить в договорные отношения независимо от выбранного вида договора. В Энциклопедию входят материалы из информационного блока "Энциклопедия судебной практики. Правовые позиции судов".
В блоке представлены следующие материалы:
Гражданско-правовой договор. Общие положения
Доверенность
Купля-продажа
Поставка
Мена
Дарение
Аренда
Безвозмездное пользование
Подряд
Выполнение научно-исследовательских, опытно-конструкторских и технологических работ
Возмездное оказание услуг
Перевозка
Заем
Кредит
Расчеты
Хранение
Страхование
Поручение
Комиссия
Агентирование
Лицензионный договор
Цессия.</w:t>
      </w:r>
    </w:p>
    <w:p/>
    <w:p>
      <w:pPr/>
      <w:r>
        <w:rPr>
          <w:rFonts w:ascii="Arial" w:hAnsi="Arial" w:eastAsia="Arial" w:cs="Arial"/>
          <w:lang w:val="ru-RU"/>
          <w:color w:val="120D21"/>
          <w:sz w:val="20"/>
          <w:szCs w:val="20"/>
          <w:b w:val="1"/>
          <w:bCs w:val="1"/>
        </w:rPr>
        <w:t xml:space="preserve">Энциклопедия решений. Корпоративное право</w:t>
      </w:r>
    </w:p>
    <w:p>
      <w:pPr/>
      <w:r>
        <w:rPr>
          <w:rFonts w:ascii="Arial" w:hAnsi="Arial" w:eastAsia="Arial" w:cs="Arial"/>
          <w:lang w:val="ru-RU"/>
          <w:color w:val="120D21"/>
          <w:sz w:val="18"/>
          <w:szCs w:val="18"/>
        </w:rPr>
        <w:t xml:space="preserve">В блоке представлены 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Энциклопедия носит практическую направленность. В ней обобщен опыт службы Правового консалтинга ГАРАНТ, учтены последние изменения в законодательстве, позиция судов, разъяснения органов власти и сложившаяся правоприменительная практика. Информационный блок содержит материалы из "Энциклопедии судебной практики. Правовые позиции судов".
В блоке получили освещение следующие темы:
Создание юридического лица
Общество с ограниченной ответственность
Акционерное общество
Государственная регистрация юридических лиц
Наименование юридического лица. Фирменное наименование
Место нахождения юридического лица. Юридический и фактический адрес
Правоспособность юридических лиц
Счета юридических лиц
Печать юридического лица. Штампы и фирменные бланки
Обособленные подразделения. Филиалы и представительства
Дочерние общества
Зависимые общества
Гражданско-правовая ответственность юридических лиц
Аффилированные лица юридического лица
Реорганизация юридического лица
Ликвидация юридического лица
Антимонопольное регулирование</w:t>
      </w:r>
    </w:p>
    <w:p/>
    <w:p>
      <w:pPr/>
      <w:r>
        <w:rPr>
          <w:rFonts w:ascii="Arial" w:hAnsi="Arial" w:eastAsia="Arial" w:cs="Arial"/>
          <w:lang w:val="ru-RU"/>
          <w:color w:val="120D21"/>
          <w:sz w:val="28"/>
          <w:szCs w:val="28"/>
          <w:b w:val="1"/>
          <w:bCs w:val="1"/>
        </w:rPr>
        <w:t xml:space="preserve">Правовая Поддержка</w:t>
      </w:r>
    </w:p>
    <w:p/>
    <w:p>
      <w:pPr/>
      <w:r>
        <w:rPr>
          <w:rFonts w:ascii="Arial" w:hAnsi="Arial" w:eastAsia="Arial" w:cs="Arial"/>
          <w:lang w:val="ru-RU"/>
          <w:color w:val="120D21"/>
          <w:sz w:val="20"/>
          <w:szCs w:val="20"/>
          <w:b w:val="1"/>
          <w:bCs w:val="1"/>
        </w:rPr>
        <w:t xml:space="preserve">Горячая
линия</w:t>
      </w:r>
    </w:p>
    <w:p>
      <w:pPr/>
      <w:r>
        <w:rPr>
          <w:rFonts w:ascii="Arial" w:hAnsi="Arial" w:eastAsia="Arial" w:cs="Arial"/>
          <w:lang w:val="ru-RU"/>
          <w:color w:val="120D21"/>
          <w:sz w:val="18"/>
          <w:szCs w:val="18"/>
        </w:rPr>
        <w:t xml:space="preserve">Эта услуга доступна для всех
пользователей системы без
дополнительной оплаты. С помошью
чата в интернет-версии системы,
кнопки «Задать вопрос эксперту» или
просто по телефону, клиент может
связаться с нашими специалистами и
задать вопрос, касающийся:
- помощи в поиске в системе ответа
на свой правовой вопрос
- помощи в розыске редких
документов
- определении статуса документа
- вопросы, касающиеся сервисного
обслуживан</w:t>
      </w:r>
    </w:p>
    <w:p/>
    <w:p>
      <w:r>
        <w:br w:type="page"/>
      </w:r>
    </w:p>
    <w:p/>
    <w:p>
      <w:pPr/>
      <w:r>
        <w:rPr>
          <w:rFonts w:ascii="Arial" w:hAnsi="Arial" w:eastAsia="Arial" w:cs="Arial"/>
          <w:lang w:val="ru-RU"/>
          <w:color w:val="120D21"/>
          <w:sz w:val="32"/>
          <w:szCs w:val="32"/>
          <w:b w:val="1"/>
          <w:bCs w:val="1"/>
        </w:rPr>
        <w:t xml:space="preserve">Цена за комплект</w:t>
      </w:r>
    </w:p>
    <w:tbl>
      <w:tblGrid>
        <w:gridCol w:w="4725" w:type="dxa"/>
        <w:gridCol w:w="2025" w:type="dxa"/>
        <w:gridCol w:w="1525" w:type="dxa"/>
        <w:gridCol w:w="1525" w:type="dxa"/>
        <w:gridCol w:w="2025" w:type="dxa"/>
      </w:tblGrid>
      <w:tblPr>
        <w:tblStyle w:val="TableStyle"/>
      </w:tblPr>
      <w:tr>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Гарант-Максимум Интернет Стандартная</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34036.8</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34036.8</w:t>
                  </w:r>
                </w:p>
              </w:tc>
            </w:tr>
          </w:tbl>
          <w:p/>
        </w:tc>
      </w:tr>
    </w:tbl>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8"/>
                <w:szCs w:val="18"/>
              </w:rPr>
              <w:t xml:space="preserve"/>
            </w:r>
          </w:p>
        </w:tc>
      </w:tr>
    </w:tbl>
    <w:p>
      <w:r>
        <w:br w:type="page"/>
      </w:r>
    </w:p>
    <w:p/>
    <w:tbl>
      <w:tblGrid>
        <w:gridCol w:w="5875.2" w:type="dxa"/>
        <w:gridCol w:w="856.8000000000001" w:type="dxa"/>
        <w:gridCol w:w="6120" w:type="dxa"/>
      </w:tblGrid>
      <w:tblPr>
        <w:tblStyle w:val="InvoiceHeaderTableStyle"/>
      </w:tblPr>
      <w:tr>
        <w:trPr>
          <w:trHeight w:val="800"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400"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6"/>
                      <w:szCs w:val="16"/>
                    </w:rPr>
                    <w:t xml:space="preserve">Южный филиал АО "Райффайзенбанк"</w:t>
                  </w:r>
                </w:p>
              </w:tc>
            </w:tr>
            <w:tr>
              <w:trPr>
                <w:trHeight w:val="400" w:hRule="atLeast"/>
              </w:trPr>
              <w:tc>
                <w:tcPr>
                  <w:vAlign w:val="bottom"/>
                </w:tcPr>
                <w:p>
                  <w:pPr>
                    <w:jc w:val="left"/>
                    <w:spacing w:before="0" w:after="0" w:line="240" w:lineRule="auto"/>
                  </w:pPr>
                  <w:r>
                    <w:rPr>
                      <w:rFonts w:ascii="Arial" w:hAnsi="Arial" w:eastAsia="Arial" w:cs="Arial"/>
                      <w:lang w:val="ru-RU"/>
                      <w:color w:val="120D21"/>
                      <w:sz w:val="16"/>
                      <w:szCs w:val="16"/>
                    </w:rPr>
                    <w:t xml:space="preserve">Банк получателя</w:t>
                  </w:r>
                </w:p>
              </w:tc>
            </w:tr>
          </w:tbl>
          <w:p/>
        </w:tc>
        <w:tc>
          <w:tcPr>
            <w:tcW w:w="856.8000000000001" w:type="dxa"/>
            <w:tcBorders>
              <w:top w:val="single" w:sz="4" w:color="000000"/>
              <w:left w:val="single" w:sz="4" w:color="000000"/>
              <w:right w:val="single" w:sz="4" w:color="000000"/>
              <w:bottom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6"/>
                      <w:szCs w:val="16"/>
                    </w:rPr>
                    <w:t xml:space="preserve">БИК</w:t>
                  </w:r>
                </w:p>
              </w:tc>
            </w:tr>
          </w:tbl>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6"/>
                      <w:szCs w:val="16"/>
                    </w:rPr>
                    <w:t xml:space="preserve">Cч. №</w:t>
                  </w:r>
                </w:p>
              </w:tc>
            </w:tr>
          </w:tbl>
          <w:p/>
        </w:tc>
        <w:tc>
          <w:tcPr>
            <w:tcW w:w="6120"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6"/>
                      <w:szCs w:val="16"/>
                    </w:rPr>
                    <w:t xml:space="preserve">40349556</w:t>
                  </w:r>
                </w:p>
              </w:tc>
            </w:t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6"/>
                      <w:szCs w:val="16"/>
                    </w:rPr>
                    <w:t xml:space="preserve"/>
                  </w:r>
                </w:p>
              </w:tc>
            </w:tr>
          </w:tbl>
          <w:p/>
        </w:tc>
      </w:tr>
      <w:tr>
        <w:trPr>
          <w:trHeight w:val="222.22222222222223" w:hRule="atLeast"/>
        </w:trPr>
        <w:tc>
          <w:tcPr>
            <w:tcW w:w="5875.2" w:type="dxa"/>
            <w:tcBorders>
              <w:top w:val="single" w:sz="4" w:color="000000"/>
              <w:left w:val="single" w:sz="4" w:color="000000"/>
              <w:right w:val="single" w:sz="4" w:color="000000"/>
              <w:bottom w:val="single" w:sz="4" w:color="000000"/>
            </w:tcBorders>
          </w:tcPr>
          <w:tbl>
            <w:tblGrid>
              <w:gridCol w:w="300" w:type="dxa"/>
              <w:gridCol w:w="1500" w:type="dxa"/>
              <w:gridCol w:w="300" w:type="dxa"/>
              <w:gridCol w:w="3775.2"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300" w:type="dxa"/>
                  <w:tcBorders>
                    <w:right w:val="single" w:sz="4" w:color="000000"/>
                  </w:tcBorders>
                </w:tcPr>
                <w:p>
                  <w:pPr>
                    <w:jc w:val="left"/>
                    <w:spacing w:before="0" w:after="0" w:line="240" w:lineRule="auto"/>
                  </w:pPr>
                  <w:r>
                    <w:rPr>
                      <w:rFonts w:ascii="Arial" w:hAnsi="Arial" w:eastAsia="Arial" w:cs="Arial"/>
                      <w:lang w:val="ru-RU"/>
                      <w:color w:val="120D21"/>
                      <w:sz w:val="16"/>
                      <w:szCs w:val="16"/>
                    </w:rPr>
                    <w:t xml:space="preserve">ИНН</w:t>
                  </w:r>
                </w:p>
              </w:tc>
              <w:tc>
                <w:tcPr>
                  <w:tcW w:w="1500" w:type="dxa"/>
                  <w:tcBorders>
                    <w:right w:val="single" w:sz="4" w:color="000000"/>
                  </w:tcBorders>
                </w:tcPr>
                <w:p>
                  <w:pPr>
                    <w:jc w:val="left"/>
                    <w:spacing w:before="0" w:after="0" w:line="240" w:lineRule="auto"/>
                  </w:pPr>
                  <w:r>
                    <w:rPr>
                      <w:rFonts w:ascii="Arial" w:hAnsi="Arial" w:eastAsia="Arial" w:cs="Arial"/>
                      <w:lang w:val="ru-RU"/>
                      <w:color w:val="120D21"/>
                      <w:sz w:val="16"/>
                      <w:szCs w:val="16"/>
                    </w:rPr>
                    <w:t xml:space="preserve">262900156801</w:t>
                  </w:r>
                </w:p>
              </w:tc>
              <w:tc>
                <w:tcPr>
                  <w:tcW w:w="300" w:type="dxa"/>
                  <w:tcBorders>
                    <w:right w:val="single" w:sz="4" w:color="000000"/>
                  </w:tcBorders>
                </w:tcPr>
                <w:p>
                  <w:pPr>
                    <w:jc w:val="left"/>
                    <w:spacing w:before="0" w:after="0" w:line="240" w:lineRule="auto"/>
                  </w:pPr>
                  <w:r>
                    <w:rPr>
                      <w:rFonts w:ascii="Arial" w:hAnsi="Arial" w:eastAsia="Arial" w:cs="Arial"/>
                      <w:lang w:val="ru-RU"/>
                      <w:color w:val="120D21"/>
                      <w:sz w:val="16"/>
                      <w:szCs w:val="16"/>
                    </w:rPr>
                    <w:t xml:space="preserve">КПП</w:t>
                  </w:r>
                </w:p>
              </w:tc>
              <w:tc>
                <w:tcPr>
                  <w:tcW w:w="3775.2" w:type="dxa"/>
                </w:tcPr>
                <w:p/>
              </w:tc>
            </w:tr>
          </w:tbl>
          <w:p/>
        </w:tc>
        <w:tc>
          <w:tcPr>
            <w:tcW w:w="856.8000000000001" w:type="dxa"/>
            <w:tcBorders>
              <w:right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856.8000000000001" w:type="dxa"/>
                </w:tcPr>
                <w:p>
                  <w:pPr>
                    <w:jc w:val="left"/>
                    <w:spacing w:before="0" w:after="0" w:line="240" w:lineRule="auto"/>
                  </w:pPr>
                  <w:r>
                    <w:rPr>
                      <w:rFonts w:ascii="Arial" w:hAnsi="Arial" w:eastAsia="Arial" w:cs="Arial"/>
                      <w:lang w:val="ru-RU"/>
                      <w:color w:val="120D21"/>
                      <w:sz w:val="16"/>
                      <w:szCs w:val="16"/>
                    </w:rPr>
                    <w:t xml:space="preserve">Сч. №</w:t>
                  </w:r>
                </w:p>
              </w:tc>
            </w:tr>
          </w:tbl>
          <w:p/>
        </w:tc>
        <w:tc>
          <w:tcPr>
            <w:tcW w:w="6120" w:type="dxa"/>
            <w:tcBorders>
              <w:right w:val="single" w:sz="4" w:color="000000"/>
            </w:tcBorders>
          </w:tcPr>
          <w:tbl>
            <w:tblGrid>
              <w:gridCol w:w="6120"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6120" w:type="dxa"/>
                </w:tcPr>
                <w:p>
                  <w:pPr>
                    <w:jc w:val="left"/>
                    <w:spacing w:before="0" w:after="0" w:line="240" w:lineRule="auto"/>
                  </w:pPr>
                  <w:r>
                    <w:rPr>
                      <w:rFonts w:ascii="Arial" w:hAnsi="Arial" w:eastAsia="Arial" w:cs="Arial"/>
                      <w:lang w:val="ru-RU"/>
                      <w:color w:val="120D21"/>
                      <w:sz w:val="16"/>
                      <w:szCs w:val="16"/>
                    </w:rPr>
                    <w:t xml:space="preserve">40802810826000050639</w:t>
                  </w:r>
                </w:p>
              </w:tc>
            </w:tr>
          </w:tbl>
          <w:p/>
        </w:tc>
      </w:tr>
      <w:tr>
        <w:trPr>
          <w:trHeight w:val="577.7777777777778"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88.8888888888889"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6"/>
                      <w:szCs w:val="16"/>
                    </w:rPr>
                    <w:t xml:space="preserve">ИП Савчук А.В.</w:t>
                  </w:r>
                </w:p>
              </w:tc>
            </w:tr>
            <w:tr>
              <w:trPr>
                <w:trHeight w:val="288.8888888888889" w:hRule="atLeast"/>
              </w:trPr>
              <w:tc>
                <w:tcPr>
                  <w:tcW w:w="5875.2" w:type="dxa"/>
                  <w:vAlign w:val="bottom"/>
                </w:tcPr>
                <w:p>
                  <w:pPr>
                    <w:jc w:val="left"/>
                    <w:spacing w:before="0" w:after="0" w:line="240" w:lineRule="auto"/>
                  </w:pPr>
                  <w:r>
                    <w:rPr>
                      <w:rFonts w:ascii="Arial" w:hAnsi="Arial" w:eastAsia="Arial" w:cs="Arial"/>
                      <w:lang w:val="ru-RU"/>
                      <w:color w:val="120D21"/>
                      <w:sz w:val="16"/>
                      <w:szCs w:val="16"/>
                    </w:rPr>
                    <w:t xml:space="preserve">Получатель</w:t>
                  </w:r>
                </w:p>
              </w:tc>
            </w:tr>
          </w:tbl>
          <w:p/>
        </w:tc>
        <w:tc>
          <w:tcPr>
            <w:tcW w:w="856.8000000000001"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6"/>
                      <w:szCs w:val="16"/>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6"/>
                      <w:szCs w:val="16"/>
                    </w:rPr>
                    <w:t xml:space="preserve"/>
                  </w:r>
                </w:p>
              </w:tc>
            </w:tr>
          </w:tbl>
          <w:p/>
        </w:tc>
        <w:tc>
          <w:tcPr>
            <w:tcW w:w="6120"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6"/>
                      <w:szCs w:val="16"/>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6"/>
                      <w:szCs w:val="16"/>
                    </w:rPr>
                    <w:t xml:space="preserve"/>
                  </w:r>
                </w:p>
              </w:tc>
            </w:tr>
          </w:tbl>
          <w:p/>
        </w:tc>
      </w:tr>
    </w:tbl>
    <w:p/>
    <w:p/>
    <w:p/>
    <w:p>
      <w:pPr>
        <w:jc w:val="center"/>
        <w:spacing w:before="100" w:after="1" w:line="240" w:lineRule="auto"/>
      </w:pPr>
      <w:r>
        <w:rPr>
          <w:rFonts w:ascii="Arial" w:hAnsi="Arial" w:eastAsia="Arial" w:cs="Arial"/>
          <w:lang w:val="ru-RU"/>
          <w:color w:val="120D21"/>
          <w:sz w:val="28"/>
          <w:szCs w:val="28"/>
          <w:b w:val="1"/>
          <w:bCs w:val="1"/>
        </w:rPr>
        <w:t xml:space="preserve">Счет на оплату N 151824</w:t>
      </w:r>
    </w:p>
    <w:p/>
    <w:p/>
    <w:tbl>
      <w:tblGrid>
        <w:gridCol w:w="10800" w:type="dxa"/>
      </w:tblGrid>
      <w:tr>
        <w:trPr/>
        <w:tc>
          <w:tcPr>
            <w:tcW w:w="10800" w:type="dxa"/>
            <w:tcBorders>
              <w:top w:val="single" w:sz="0" w:color="FFFFFF"/>
              <w:left w:val="single" w:sz="0" w:color="FFFFFF"/>
              <w:right w:val="single" w:sz="0" w:color="FFFFFF"/>
              <w:bottom w:val="single" w:sz="0" w:color="FFFFFF"/>
            </w:tcBorders>
          </w:tcPr>
          <w:tbl>
            <w:tblGrid>
              <w:gridCol w:w="10800" w:type="dxa"/>
            </w:tblGrid>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Поставщик: </w:t>
                  </w:r>
                  <w:r>
                    <w:rPr>
                      <w:rFonts w:ascii="Arial" w:hAnsi="Arial" w:eastAsia="Arial" w:cs="Arial"/>
                      <w:lang w:val="ru-RU"/>
                      <w:color w:val="120D21"/>
                      <w:sz w:val="18"/>
                      <w:szCs w:val="18"/>
                    </w:rPr>
                    <w:t xml:space="preserve">Индивидуальный Предприниматель Савчук Анатолий Викторович</w:t>
                  </w:r>
                  <w:r>
                    <w:rPr>
                      <w:rFonts w:ascii="Arial" w:hAnsi="Arial" w:eastAsia="Arial" w:cs="Arial"/>
                      <w:lang w:val="ru-RU"/>
                      <w:color w:val="120D21"/>
                      <w:sz w:val="18"/>
                      <w:szCs w:val="18"/>
                    </w:rPr>
                    <w:t xml:space="preserve">, ИНН: 262900156801</w:t>
                  </w:r>
                  <w:r>
                    <w:rPr>
                      <w:rFonts w:ascii="Arial" w:hAnsi="Arial" w:eastAsia="Arial" w:cs="Arial"/>
                      <w:lang w:val="ru-RU"/>
                      <w:color w:val="120D21"/>
                      <w:sz w:val="18"/>
                      <w:szCs w:val="18"/>
                    </w:rPr>
                    <w:t xml:space="preserve">, адрес:357340, Ставропольский край, Лермонтов г, Октябрьская ул, дом № 50, кв.28</w:t>
                  </w:r>
                  <w:r>
                    <w:rPr>
                      <w:rFonts w:ascii="Arial" w:hAnsi="Arial" w:eastAsia="Arial" w:cs="Arial"/>
                      <w:lang w:val="ru-RU"/>
                      <w:color w:val="120D21"/>
                      <w:sz w:val="18"/>
                      <w:szCs w:val="18"/>
                    </w:rPr>
                    <w:t xml:space="preserve">, телефон:7(800)7000394</w:t>
                  </w:r>
                </w:p>
              </w:tc>
            </w:tr>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Покупатель: </w:t>
                  </w:r>
                  <w:r>
                    <w:rPr>
                      <w:rFonts w:ascii="Arial" w:hAnsi="Arial" w:eastAsia="Arial" w:cs="Arial"/>
                      <w:lang w:val="ru-RU"/>
                      <w:color w:val="120D21"/>
                      <w:sz w:val="18"/>
                      <w:szCs w:val="18"/>
                    </w:rPr>
                    <w:t xml:space="preserve">Частное образовательное учреждение  дополнительного профессионального образования  «Северо-Кавказский институт дополнительного образования»</w:t>
                  </w:r>
                  <w:r>
                    <w:rPr>
                      <w:rFonts w:ascii="Arial" w:hAnsi="Arial" w:eastAsia="Arial" w:cs="Arial"/>
                      <w:lang w:val="ru-RU"/>
                      <w:color w:val="120D21"/>
                      <w:sz w:val="18"/>
                      <w:szCs w:val="18"/>
                    </w:rPr>
                    <w:t xml:space="preserve">, ИНН 2634093256</w:t>
                  </w:r>
                </w:p>
              </w:tc>
            </w:tr>
          </w:tbl>
          <w:p/>
        </w:tc>
      </w:tr>
    </w:tbl>
    <w:p/>
    <w:tbl>
      <w:tblGrid>
        <w:gridCol w:w="5400" w:type="dxa"/>
        <w:gridCol w:w="2700" w:type="dxa"/>
        <w:gridCol w:w="2200" w:type="dxa"/>
        <w:gridCol w:w="2200" w:type="dxa"/>
        <w:gridCol w:w="2700" w:type="dxa"/>
      </w:tblGrid>
      <w:tblPr>
        <w:tblStyle w:val="TableStyle"/>
      </w:tblPr>
      <w:tr>
        <w:trPr>
          <w:trHeight w:val="4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Гарант-Максимум Интернет Стандартная</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34036.8</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34036.8</w:t>
                  </w:r>
                </w:p>
              </w:tc>
            </w:tr>
          </w:tbl>
          <w:p/>
        </w:tc>
      </w:tr>
    </w:tbl>
    <w:p/>
    <w:p>
      <w:pPr>
        <w:jc w:val="end"/>
        <w:spacing w:before="100" w:after="1" w:line="240" w:lineRule="auto"/>
      </w:pPr>
      <w:r>
        <w:rPr>
          <w:rFonts w:ascii="Arial" w:hAnsi="Arial" w:eastAsia="Arial" w:cs="Arial"/>
          <w:lang w:val="ru-RU"/>
          <w:color w:val="120D21"/>
          <w:sz w:val="20"/>
          <w:szCs w:val="20"/>
          <w:b w:val="1"/>
          <w:bCs w:val="1"/>
        </w:rPr>
        <w:t xml:space="preserve">Итого: </w:t>
      </w:r>
      <w:r>
        <w:rPr>
          <w:rFonts w:ascii="Arial" w:hAnsi="Arial" w:eastAsia="Arial" w:cs="Arial"/>
          <w:lang w:val="ru-RU"/>
          <w:color w:val="120D21"/>
          <w:sz w:val="20"/>
          <w:szCs w:val="20"/>
          <w:b w:val="0"/>
          <w:bCs w:val="0"/>
        </w:rPr>
        <w:t xml:space="preserve">Тридцать четыре тысячи тридцать шесть рублей восемьдесят копеек без НДС</w:t>
      </w:r>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00" w:after="1" w:line="240" w:lineRule="auto"/>
            </w:pPr>
            <w:r>
              <w:rPr>
                <w:rFonts w:ascii="Arial" w:hAnsi="Arial" w:eastAsia="Arial" w:cs="Arial"/>
                <w:lang w:val="ru-RU"/>
                <w:color w:val="120D21"/>
                <w:sz w:val="18"/>
                <w:szCs w:val="18"/>
              </w:rPr>
              <w:t xml:space="preserve"/>
            </w:r>
          </w:p>
        </w:tc>
      </w:tr>
    </w:tbl>
    <w:sectPr>
      <w:headerReference w:type="default" r:id="rId9"/>
      <w:footerReference w:type="default" r:id="rId10"/>
      <w:pgSz w:orient="portrait" w:w="12240" w:h="15840"/>
      <w:pgMar w:top="1440" w:right="720" w:bottom="1440" w:left="72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896" w:type="dxa"/>
    </w:tblGrid>
    <w:tr>
      <w:trPr/>
      <w:tc>
        <w:tcPr>
          <w:tcW w:w="4896" w:type="dxa"/>
        </w:tcPr>
        <w:p>
          <w:pPr>
            <w:spacing w:before="0" w:after="0" w:line="240" w:lineRule="auto"/>
          </w:pPr>
          <w:r>
            <w:rPr>
              <w:rFonts w:ascii="Arial" w:hAnsi="Arial" w:eastAsia="Arial" w:cs="Arial"/>
              <w:lang w:val="ru-RU"/>
              <w:color w:val="120D21"/>
              <w:sz w:val="16"/>
              <w:szCs w:val="16"/>
            </w:rPr>
            <w:t xml:space="preserve">Ваш персональный менеджер</w:t>
          </w:r>
        </w:p>
        <w:p>
          <w:pPr>
            <w:spacing w:before="0" w:after="0" w:line="240" w:lineRule="auto"/>
          </w:pPr>
          <w:r>
            <w:rPr>
              <w:rFonts w:ascii="Arial" w:hAnsi="Arial" w:eastAsia="Arial" w:cs="Arial"/>
              <w:lang w:val="ru-RU"/>
              <w:color w:val="120D21"/>
              <w:sz w:val="16"/>
              <w:szCs w:val="16"/>
            </w:rPr>
            <w:t xml:space="preserve">Вадим Савчук</w:t>
          </w:r>
        </w:p>
        <w:p>
          <w:pPr>
            <w:spacing w:before="0" w:after="0" w:line="240" w:lineRule="auto"/>
          </w:pPr>
          <w:r>
            <w:rPr>
              <w:rFonts w:ascii="Arial" w:hAnsi="Arial" w:eastAsia="Arial" w:cs="Arial"/>
              <w:lang w:val="ru-RU"/>
              <w:color w:val="120D21"/>
              <w:sz w:val="16"/>
              <w:szCs w:val="16"/>
            </w:rPr>
            <w:t xml:space="preserve">e-mail: savchuckvadim@gmail.com</w:t>
          </w:r>
        </w:p>
        <w:p>
          <w:pPr>
            <w:spacing w:before="0" w:after="0" w:line="240" w:lineRule="auto"/>
          </w:pPr>
          <w:r>
            <w:rPr>
              <w:rFonts w:ascii="Arial" w:hAnsi="Arial" w:eastAsia="Arial" w:cs="Arial"/>
              <w:lang w:val="ru-RU"/>
              <w:color w:val="120D21"/>
              <w:sz w:val="16"/>
              <w:szCs w:val="16"/>
            </w:rPr>
            <w:t xml:space="preserve">телелефон: +79620027991</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896" w:type="dxa"/>
      <w:gridCol w:w="8160" w:type="dxa"/>
    </w:tblGrid>
    <w:tr>
      <w:trPr/>
      <w:tc>
        <w:tcPr>
          <w:tcW w:w="4896" w:type="dxa"/>
        </w:tcPr>
        <w:tbl>
          <w:tblGrid>
            <w:gridCol w:w="4896" w:type="dxa"/>
          </w:tblGrid>
          <w:tr>
            <w:trPr/>
            <w:tc>
              <w:tcPr>
                <w:tcW w:w="4896" w:type="dxa"/>
              </w:tcPr>
              <w:p>
                <w:pPr>
                  <w:spacing w:before="0" w:after="0" w:line="240" w:lineRule="auto"/>
                </w:pPr>
                <w:r>
                  <w:rPr>
                    <w:rFonts w:ascii="Arial" w:hAnsi="Arial" w:eastAsia="Arial" w:cs="Arial"/>
                    <w:lang w:val="ru-RU"/>
                    <w:color w:val="120D21"/>
                    <w:sz w:val="16"/>
                    <w:szCs w:val="16"/>
                  </w:rPr>
                  <w:t xml:space="preserve">Индивидуальный Предприниматель Савчук Анатолий Викторович, ИНН: 262900156801, </w:t>
                </w:r>
              </w:p>
            </w:tc>
          </w:tr>
          <w:tr>
            <w:trPr/>
            <w:tc>
              <w:tcPr>
                <w:tcW w:w="4896" w:type="dxa"/>
              </w:tcPr>
              <w:p>
                <w:pPr>
                  <w:spacing w:before="0" w:after="0" w:line="240" w:lineRule="auto"/>
                </w:pPr>
                <w:r>
                  <w:rPr>
                    <w:rFonts w:ascii="Arial" w:hAnsi="Arial" w:eastAsia="Arial" w:cs="Arial"/>
                    <w:lang w:val="ru-RU"/>
                    <w:color w:val="120D21"/>
                    <w:sz w:val="16"/>
                    <w:szCs w:val="16"/>
                  </w:rPr>
                  <w:t xml:space="preserve">357340, Ставропольский край, Лермонтов г, Матвиенко ул, дом № 12, корпус 2, 7(800)7000394, info@garant26.ru</w:t>
                </w:r>
              </w:p>
            </w:tc>
          </w:tr>
        </w:tbl>
        <w:p/>
      </w:tc>
      <w:tc>
        <w:tcPr>
          <w:tcW w:w="8160" w:type="dxa"/>
        </w:tcPr>
        <w:p>
          <w:pPr>
            <w:jc w:val="end"/>
          </w:pPr>
          <w:r>
            <w:pict>
              <v:shape type="#_x0000_t75" stroked="f" style="width:120pt; height:50.896551724138pt; margin-left:0pt; margin-top:0pt; mso-position-horizontal:left; mso-position-vertical:top; mso-position-horizontal-relative:char; mso-position-vertical-relative:line; z-index:-2147483647;">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2024-02-19T09:47:04+00:00</dcterms:created>
  <dcterms:modified xsi:type="dcterms:W3CDTF">2024-02-19T09:47:04+00:00</dcterms:modified>
</cp:coreProperties>
</file>

<file path=docProps/custom.xml><?xml version="1.0" encoding="utf-8"?>
<Properties xmlns="http://schemas.openxmlformats.org/officeDocument/2006/custom-properties" xmlns:vt="http://schemas.openxmlformats.org/officeDocument/2006/docPropsVTypes"/>
</file>