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 w:w="5232.755905511812" w:type="dxa"/>
        <w:gridCol w:w="5232.755905511812" w:type="dxa"/>
      </w:tblGrid>
      <w:tr>
        <w:trPr/>
        <w:tc>
          <w:tcPr>
            <w:tcW w:w="5232.755905511812" w:type="dxa"/>
            <w:noWrap/>
          </w:tcPr>
          <w:p>
            <w:pPr>
              <w:jc w:val="left"/>
              <w:spacing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6"/>
                <w:szCs w:val="16"/>
              </w:rPr>
              <w:t xml:space="preserve">Исх. № КП-1980-24</w:t>
            </w:r>
          </w:p>
        </w:tc>
        <w:tc>
          <w:tcPr>
            <w:tcW w:w="5232.755905511812" w:type="dxa"/>
            <w:noWrap/>
          </w:tcPr>
          <w:p>
            <w:pPr>
              <w:jc w:val="end"/>
              <w:spacing w:before="0" w:after="0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6"/>
                <w:szCs w:val="16"/>
              </w:rPr>
              <w:t xml:space="preserve">Министерство труда и социального развития РСО-А</w:t>
            </w:r>
          </w:p>
          <w:p>
            <w:pPr>
              <w:jc w:val="end"/>
              <w:spacing w:before="0" w:after="0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6"/>
                <w:szCs w:val="16"/>
              </w:rPr>
              <w:t xml:space="preserve">ИНН: 1234567890</w:t>
            </w:r>
          </w:p>
        </w:tc>
      </w:tr>
    </w:tbl>
    <w:p>
      <w:pP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В честь 30-летия компании мы предоставляем уникальную возможность воспользоваться передовыми технологиями в работе с правовой информацией по доступной цене.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С системой ГАРАНТ Вы сможете: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Решить любую задачу с полной информационной и правовой поддержкой: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нормативные акты федерального и регионального уровня; профессиональная аналитика; практические рекомендации; более 120 000 готовых экспертных заключений; библиотеки, судебная практика, профессиональные СМИ.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Получать индивидуальные заключения по Вашим вопросам от экспертов федерального уровня! 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Пользоваться качественным сервисным обслуживанием: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 возможность обращаться на Горячую линию правовой поддержки, обучение работе с системой, техническая поддержка.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Работать только с актуальной правовой информацией: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 комплект обновляется 3 раза в день!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Всегда иметь под рукой наиболее полную базу: 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Вам доступны более 150 000 000 документов.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Существенно экономить время на изучении изменений в законодательстве получая последние правовые изменения только по интересующим Вас профессиональным сферам!  </w:t>
      </w:r>
      <w:br/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Все самое важное и необходимое для работы будет всегда под рукой! Благодаря 9 настраиваемым профессиональным страницам, каждый специалист Вашей организации сможет быстро ориентироваться в правовом поле, легко работать с большим объемом информации.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Работать с системой при первой необходимости: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в любое время и в любом месте – на работе, в командировке, на заседании суда, дома.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Получить полную информацию о контрагенте, а также защитить свои активы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с помощью сервисов «Экспресс Проверка» и «Бизнес на контроле».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Быстро и правильно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создать учетную политику организации, подготовить договор или доверенность, написать претензию или исковое заявление с конструктором учетной политики и правовых документов.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Организовать профессиональное обучение!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Повышайте свою квалификацию и узнавайте мнение экспертов по актуальным правовым вопросам и изменениям в законодательстве.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Оптимизировать свои расходы на информационно-правовое обеспечение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благодаря нашей гибкой ценовой политике и специальным условиям!</w:t>
      </w:r>
    </w:p>
    <w:tbl>
      <w:tblGrid>
        <w:gridCol w:w="3968.5039370078744" w:type="dxa"/>
        <w:gridCol w:w="3968.5039370078744" w:type="dxa"/>
        <w:gridCol w:w="3968.5039370078744" w:type="dxa"/>
      </w:tblGrid>
      <w:tr>
        <w:trPr>
          <w:trHeight w:val="900" w:hRule="atLeast"/>
        </w:trPr>
        <w:tc>
          <w:tcPr>
            <w:tcW w:w="3968.5039370078744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  <w:noWrap/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3968.5039370078744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  <w:noWrap/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top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center; mso-position-vertical:center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3968.5039370078744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  <w:noWrap/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/>
            </w:r>
          </w:p>
        </w:tc>
      </w:tr>
    </w:tbl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120D21"/>
          <w:sz w:val="28"/>
          <w:szCs w:val="28"/>
          <w:b w:val="1"/>
          <w:bCs w:val="1"/>
        </w:rPr>
        <w:t xml:space="preserve">Информационное наполнение</w:t>
      </w:r>
    </w:p>
    <w:tbl>
      <w:tblGrid>
        <w:gridCol w:w="10365.511811023624" w:type="dxa"/>
      </w:tblGrid>
      <w:tblPr>
        <w:tblStyle w:val="TableStyle"/>
      </w:tblPr>
      <w:tr>
        <w:trPr/>
        <w:tc>
          <w:tcPr>
            <w:tcW w:w="10365.511811023624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10365.511811023624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365.511811023624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1" w:after="1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Нормативно-правовые акты</w:t>
                  </w:r>
                </w:p>
              </w:tc>
            </w:tr>
          </w:tbl>
          <w:p/>
        </w:tc>
      </w:tr>
      <w:tr>
        <w:trPr/>
        <w:tc>
          <w:tcPr>
            <w:tcW w:w="10365.511811023624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10365.511811023624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365.511811023624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Законодательство России</w:t>
                  </w:r>
                </w:p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Информационное ядро системы – документы, регулирующие вопросы федерального ведения и совместного ведения РФ и субъектов РФ.  В состав этого блока входят нормативно-правовые документы, необходимые всем пользователям как первоисточник для ведения любого вида деятельности.</w:t>
                  </w:r>
                </w:p>
              </w:tc>
            </w:tr>
          </w:tbl>
          <w:p/>
        </w:tc>
      </w:tr>
      <w:tr>
        <w:trPr/>
        <w:tc>
          <w:tcPr>
            <w:tcW w:w="10365.511811023624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10365.511811023624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365.511811023624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Региональное законодательство</w:t>
                  </w:r>
                </w:p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Документы органов власти регионов, в том числе по вопросам бюджетного, налогового,жилищного устройства; Практика городских судов, региональных налоговый календарей, бизнес справки, формы налоговой и бухгалтерской отчетности.</w:t>
                  </w:r>
                </w:p>
              </w:tc>
            </w:tr>
          </w:tbl>
          <w:p/>
        </w:tc>
      </w:tr>
      <w:tr>
        <w:trPr/>
        <w:tc>
          <w:tcPr>
            <w:tcW w:w="10365.511811023624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10365.511811023624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365.511811023624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1" w:after="1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Судебная практика</w:t>
                  </w:r>
                </w:p>
              </w:tc>
            </w:tr>
          </w:tbl>
          <w:p/>
        </w:tc>
      </w:tr>
      <w:tr>
        <w:trPr/>
        <w:tc>
          <w:tcPr>
            <w:tcW w:w="10365.511811023624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10365.511811023624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365.511811023624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Судебная практика: приложение к консультационным блокам</w:t>
                  </w:r>
                </w:p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Вы без дополнительных затрат получаете доступ к текстам всех судебных актов, на которые ссылаются авторы в своих рекомендациях. Это могут быть акты как высших судебных органов, так и нижестоящих инстанций.</w:t>
                  </w:r>
                </w:p>
              </w:tc>
            </w:tr>
          </w:tbl>
          <w:p/>
        </w:tc>
      </w:tr>
      <w:tr>
        <w:trPr/>
        <w:tc>
          <w:tcPr>
            <w:tcW w:w="10365.511811023624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10365.511811023624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365.511811023624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1" w:after="1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Консультационные материалы</w:t>
                  </w:r>
                </w:p>
              </w:tc>
            </w:tr>
          </w:tbl>
          <w:p/>
        </w:tc>
      </w:tr>
      <w:tr>
        <w:trPr/>
        <w:tc>
          <w:tcPr>
            <w:tcW w:w="10365.511811023624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10365.511811023624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365.511811023624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Большая библиотека бухгалтера и кадрового работника</w:t>
                  </w:r>
                </w:p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Бухгалтерский и кадровый учет, оформление новых сотрудников, первичных документов, кассовые операции, начисление зарплаты, больничные листы и многое другое. Книги, статьи, ответы на вопросы, практические решения, шаблоны форм</w:t>
                  </w:r>
                </w:p>
              </w:tc>
            </w:tr>
          </w:tbl>
          <w:p/>
        </w:tc>
      </w:tr>
      <w:tr>
        <w:trPr/>
        <w:tc>
          <w:tcPr>
            <w:tcW w:w="10365.511811023624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10365.511811023624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365.511811023624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1" w:after="1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Специализированные блоки</w:t>
                  </w:r>
                </w:p>
              </w:tc>
            </w:tr>
          </w:tbl>
          <w:p/>
        </w:tc>
      </w:tr>
      <w:tr>
        <w:trPr/>
        <w:tc>
          <w:tcPr>
            <w:tcW w:w="10365.511811023624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10365.511811023624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365.511811023624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Энциклопедия. Формы правовых документов</w:t>
                  </w:r>
                </w:p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Типовые бланки деловых бумаг, соответствующие действующему законодательству и требованиям современного делопроизводства, сопровождающие их нормативные документы, бизнес-справки.</w:t>
                  </w:r>
                </w:p>
              </w:tc>
            </w:tr>
          </w:tbl>
          <w:p/>
        </w:tc>
      </w:tr>
      <w:tr>
        <w:trPr/>
        <w:tc>
          <w:tcPr>
            <w:tcW w:w="10365.511811023624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10365.511811023624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365.511811023624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1" w:after="1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Без дополнительной оплаты</w:t>
                  </w:r>
                </w:p>
              </w:tc>
            </w:tr>
          </w:tbl>
          <w:p/>
        </w:tc>
      </w:tr>
      <w:tr>
        <w:trPr/>
        <w:tc>
          <w:tcPr>
            <w:tcW w:w="10365.511811023624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10365.511811023624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365.511811023624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ПРАЙМ</w:t>
                  </w:r>
                </w:p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Благодаря этой услуге, пользователь ИПО ГАРАНТ всегда в курсе всех новостей, происходящих в интересующей его профессиональной области. Он не  пропустит ничего важного, при этом, благодаря точной подборке новостей и представления их в
виде аннотации, потратит на изучение этой информации минимум времени. Если профессиональные интересы пользователя  изменились, он легко может внести изменения в свою новостную ленту и уже со следующего дня начать получать новую ленту. При необходимости, он ожет
настроить несколько новостных лент.</w:t>
                  </w:r>
                </w:p>
              </w:tc>
            </w:tr>
          </w:tbl>
          <w:p/>
        </w:tc>
      </w:tr>
      <w:tr>
        <w:trPr/>
        <w:tc>
          <w:tcPr>
            <w:tcW w:w="10365.511811023624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10365.511811023624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365.511811023624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Архивы ГАРАНТа</w:t>
                  </w:r>
                </w:p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Содержит узковедомственные отраслевые документы, редкие нормативные акты, организационные и индивидуальные нормативные акты.</w:t>
                  </w:r>
                </w:p>
              </w:tc>
            </w:tr>
          </w:tbl>
          <w:p/>
        </w:tc>
      </w:tr>
      <w:tr>
        <w:trPr/>
        <w:tc>
          <w:tcPr>
            <w:tcW w:w="10365.511811023624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10365.511811023624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365.511811023624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Большая домашняя правовая энциклопедия</w:t>
                  </w:r>
                </w:p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Без дополнительных затрат Вы получаете блок, который включает в себя несколько составляющих. Это "Домашняя правовая энциклопедия", где разобраны основные правовые темы, с которыми может столкнуться любой гражданин нашей страны. А также уникальные вопросы-ответы экспертов службы Правового консалтинга ГАРАНТ и юристов интернет-портала Правовед.RU.</w:t>
                  </w:r>
                </w:p>
              </w:tc>
            </w:tr>
          </w:tbl>
          <w:p/>
        </w:tc>
      </w:tr>
      <w:tr>
        <w:trPr/>
        <w:tc>
          <w:tcPr>
            <w:tcW w:w="10365.511811023624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10365.511811023624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365.511811023624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База знаний службы правового консалтинга</w:t>
                  </w:r>
                </w:p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Все экспертные заключения в блоке представлены в удобной форме вопросов и ответов. Изучая их, можно понять, какие сложности возникают у других организаций в их рабочей практике. Это позволит сориентироваться в текущей ситуации, проанализировать ее с разных точек зрения и предусмотреть все возможные последствия принятого решения.</w:t>
                  </w:r>
                </w:p>
              </w:tc>
            </w:tr>
          </w:tbl>
          <w:p/>
        </w:tc>
      </w:tr>
      <w:tr>
        <w:trPr/>
        <w:tc>
          <w:tcPr>
            <w:tcW w:w="10365.511811023624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10365.511811023624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365.511811023624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/>
              </w:tc>
            </w:tr>
          </w:tbl>
          <w:p/>
        </w:tc>
      </w:tr>
      <w:tr>
        <w:trPr/>
        <w:tc>
          <w:tcPr>
            <w:tcW w:w="10365.511811023624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10365.511811023624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365.511811023624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1" w:after="1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Энциклопедии решений</w:t>
                  </w:r>
                </w:p>
              </w:tc>
            </w:tr>
          </w:tbl>
          <w:p/>
        </w:tc>
      </w:tr>
      <w:tr>
        <w:trPr/>
        <w:tc>
          <w:tcPr>
            <w:tcW w:w="10365.511811023624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10365.511811023624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365.511811023624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Энциклопедия решений. Проверки организаций и предпринимателей</w:t>
                  </w:r>
                </w:p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Контролирующие органы могут прийти в любую компанию и проверить, как уплачиваются налоги, соблюдаются ли требования трудового
законодательства, нет ли нарушений при осуществлении рекламы и др. Чтобы аргументированно отстоять свою позицию при общении с
проверяющими органами и защитить собственные права, пользователь может обратиться к материалам блока Энциклопедия решений.
Проверки организаций и предпринимателей. В данном блоке содержится вся необходимая информация по основным проверяющим органам;
рассматриваются вопросы, возникающие в ходе проведения проверок; имеется подробное описание правил поведения в конкретной ситуации;
представлены образцы документов, оформляемых при проведении проверок. Вся информация блока изложена простым и понятным языком,
всегда соответствует действующему законодательству и юридически обоснована.</w:t>
                  </w:r>
                </w:p>
              </w:tc>
            </w:tr>
          </w:tbl>
          <w:p/>
        </w:tc>
      </w:tr>
      <w:tr>
        <w:trPr/>
        <w:tc>
          <w:tcPr>
            <w:tcW w:w="10365.511811023624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10365.511811023624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365.511811023624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Энциклопедия решений.Госсектор: учет, отчетность, финконтроль</w:t>
                  </w:r>
                </w:p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В настоящее время блок Энциклопедия решений. Бюджетная сфера: учет,
отчетность, финконтроль состоит из следующих разделов: 
1) организации
бюджетной сферы: особенности правового положения; 
2) бухгалтерский учет в
организациях бюджетной сферы; 
3) бюджетная классификация; 
4) бухгалтерская
отчетность бюджетных и автономных учреждений; 5) бюджетная отчетность казенных
учреждений и органов власти; 
6) налоги и взносы в организациях бюджетной сферы; 
7)финансовые, имущественные и правовые вопросы; 
8) проверки органами
финконтроля; 
9) годовой отчет 2023; 
10) квартальная отчетность 2023;</w:t>
                  </w:r>
                </w:p>
              </w:tc>
            </w:tr>
          </w:tbl>
          <w:p/>
        </w:tc>
      </w:tr>
      <w:tr>
        <w:trPr/>
        <w:tc>
          <w:tcPr>
            <w:tcW w:w="10365.511811023624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10365.511811023624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365.511811023624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Энциклопедия решений. Госзакупки</w:t>
                  </w:r>
                </w:p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На сегодняшний день закупки товаров, выполнение работ и оказание услуг для государственных нужд занимают значительный сектор российской
экономики. Компания «Гарант» предлагает информационный блок Энциклопедия решений. Государственные и корпоративные закупки,
содержащий ответы на основные вопросы, с которыми сталкиваются все участники закупочной деятельности на различных этапах проведения
торгов. Все материалы данного блока проверяются на соответствие действующему законодательству и регулярно дополняются новыми
документами, что является гарантией актуальности используемой информации и придает больше уверенности в принимаемых решениях.
Материалы содержат ссылки на необходимую информацию: нормативные документы, разъяснения государственных органов и комментарии
ведущих экспертов по вопросам размещения заказов, обзоры судебной и административной практики, практики рассмотрения Федеральной
антимонопольной службой жалоб на действия заказчиков и операторов электронных площадок, а также примерные формы документов,
подлежащих обязательному оформлению при проведении процедуры размещения заказов</w:t>
                  </w:r>
                </w:p>
              </w:tc>
            </w:tr>
          </w:tbl>
          <w:p/>
        </w:tc>
      </w:tr>
      <w:tr>
        <w:trPr/>
        <w:tc>
          <w:tcPr>
            <w:tcW w:w="10365.511811023624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10365.511811023624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365.511811023624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Энциклопедия решений. Трудовые отношения, кадры</w:t>
                  </w:r>
                </w:p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Представляетсобой набор аналитических авторских материалов. Это не только систематизированное изложение правовых норм, но и практические
комментарии. Опыт экспертов службы Правового консалтинга ГАРАНТ позволил разработчикам блока выявить самые распространенные и
актуальные вопросы, возникающие у специалистов, работающих с трудовыми ресурсами и подготовить ответы на них. Все
представленные выводы всегда сопровождаются обоснованием, содержащим ссылки на нормативные правовые акты, разъяснительные
письма чиновников, судебную практику. По гипертекстовым ссылкам в тексте пользователь может быстро перейти к этим документам.</w:t>
                  </w:r>
                </w:p>
              </w:tc>
            </w:tr>
          </w:tbl>
          <w:p/>
        </w:tc>
      </w:tr>
      <w:tr>
        <w:trPr/>
        <w:tc>
          <w:tcPr>
            <w:tcW w:w="10365.511811023624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10365.511811023624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365.511811023624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Энциклопедия решений. Налоги и взносы</w:t>
                  </w:r>
                </w:p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Представляет собой набор актуальных аналитических статей, в каждой из которых
рассмотрен отдельный вопрос налогообложения. Все статьи подготовлены авторским коллективом экспертов компании «Гарант». Кроме комментария к нормам НК РФ, материалы содержат краткое описание проблем, возникающих в связи с их применением, а также подборку
разъясняющих писем контролирующих органов и судебной практики, если они имеются. Ко многим статьям подобраны консультации из
Базы знаний службы Правового консалтинга ГАРАНТ, иллюстрирующие применение конкретных норм, а также примеры заполнения форм
документов. Перейти к этим дополнительным материалам можно из меню в правой части окна.</w:t>
                  </w:r>
                </w:p>
              </w:tc>
            </w:tr>
          </w:tbl>
          <w:p/>
        </w:tc>
      </w:tr>
      <w:tr>
        <w:trPr/>
        <w:tc>
          <w:tcPr>
            <w:tcW w:w="10365.511811023624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10365.511811023624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365.511811023624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Энциклопедия решений. Договоры и иные сделки</w:t>
                  </w:r>
                </w:p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Используя в работе материалы блока Энциклопедия решений. Договоры и иные сделки, Вы всегда будете знать, какие
тонкости необходимо учитывать при выборе модели договорных правоотношений, на что следует обратить особое внимание при
составлении текста договора. В блоке содержатся только актуальные и проверенные материалы о часто используемых гражданско-
правовых договорах, применяемых как в предпринимательской деятельности, так и в отношениях между гражданами; рассматриваются
особенности различных их видов; освещаются проблемы, связанные с исполнением этих договоров и предлагаются пути их решения,
приводятся практические рекомендации. Здесь же можно найти и актуальные формы всех представленных в блоке договоров, а также
сопутствующих им документов (актов, уведомлений, претензий и т.д.).</w:t>
                  </w:r>
                </w:p>
              </w:tc>
            </w:tr>
          </w:tbl>
          <w:p/>
        </w:tc>
      </w:tr>
      <w:tr>
        <w:trPr/>
        <w:tc>
          <w:tcPr>
            <w:tcW w:w="10365.511811023624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10365.511811023624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365.511811023624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1" w:after="1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Правовая Поддержка</w:t>
                  </w:r>
                </w:p>
              </w:tc>
            </w:tr>
          </w:tbl>
          <w:p/>
        </w:tc>
      </w:tr>
      <w:tr>
        <w:trPr/>
        <w:tc>
          <w:tcPr>
            <w:tcW w:w="10365.511811023624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10365.511811023624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365.511811023624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Горячая
линия</w:t>
                  </w:r>
                </w:p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В рамках Горячей линии информационно-правовой поддержки пользователям предлагается:
Помощь в формировании подборки материалов системы ГАРАНТ, которые могут применяться в ситуации, описанной в вопросе;
Помощь в розыске отсутствующего в системе ГАРАНТ документа и предоставление документов, не входящих в комплект пользователя;
Ответы на вопросы о статусе (действии) документа.</w:t>
                  </w:r>
                </w:p>
              </w:tc>
            </w:tr>
          </w:tbl>
          <w:p/>
        </w:tc>
      </w:tr>
      <w:tr>
        <w:trPr/>
        <w:tc>
          <w:tcPr>
            <w:tcW w:w="10365.511811023624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10365.511811023624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365.511811023624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1" w:after="1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Legal Tech</w:t>
                  </w:r>
                </w:p>
              </w:tc>
            </w:tr>
          </w:tbl>
          <w:p/>
        </w:tc>
      </w:tr>
      <w:tr>
        <w:trPr/>
        <w:tc>
          <w:tcPr>
            <w:tcW w:w="10365.511811023624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10365.511811023624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365.511811023624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Конструктор правовых документов</w:t>
                  </w:r>
                </w:p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добный рубрикатор, позволяющий быстро найти нужную форму;
экономию времени на составление документов;
решение проблем с форматированием;
помощь при заполнении через гипертекстовые подсказки;
своевременную актуализацию форм в соответствии с изменениями в законодательстве;
возможность экспортировать заполненный документ в Гарант Диск - базу внутренних документов пользователя;
интеграцию с калькуляторами ГАРАНТа в части вычисления НДС и расшифровки суммы прописью;
автозаполнение реквизитов контрагента.</w:t>
                  </w:r>
                </w:p>
              </w:tc>
            </w:tr>
          </w:tbl>
          <w:p/>
        </w:tc>
      </w:tr>
      <w:tr>
        <w:trPr/>
        <w:tc>
          <w:tcPr>
            <w:tcW w:w="10365.511811023624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10365.511811023624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365.511811023624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Интернет-семинары</w:t>
                  </w:r>
                </w:p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информацию об актуальных изменениях в законодательстве от ведущих экспертов России;
повышение профессионального уровня;
возможность смотреть семинары в любом месте и с любого устройства при наличии доступа к
Интернету;
ответы на актуальные вопросы, заданные участниками во время интернет-семинара;
интеллектуальный поиск по содержанию лекции внутри записей семинаров.</w:t>
                  </w:r>
                </w:p>
              </w:tc>
            </w:tr>
          </w:tbl>
          <w:p/>
        </w:tc>
      </w:tr>
    </w:tbl>
    <w:p>
      <w:r>
        <w:br w:type="page"/>
      </w:r>
    </w:p>
    <w:p>
      <w:pPr/>
      <w:r>
        <w:rPr>
          <w:rFonts w:ascii="Arial" w:hAnsi="Arial" w:eastAsia="Arial" w:cs="Arial"/>
          <w:lang w:val="ru-RU"/>
          <w:color w:val="120D21"/>
          <w:sz w:val="28"/>
          <w:szCs w:val="28"/>
          <w:b w:val="1"/>
          <w:bCs w:val="1"/>
        </w:rPr>
        <w:t xml:space="preserve">Нормативно-правовые акты</w:t>
      </w:r>
    </w:p>
    <w:p/>
    <w:p>
      <w:pPr/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Законодательство России</w:t>
      </w:r>
    </w:p>
    <w:p>
      <w:pP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Информационный банк содержит документы федерального уровня регулирования по основным отраслям права: гражданские отношения, налогообложение, бухучет, предпринимательство, собственность, валютное регулирование, трудовые отношения, социальная защита и другие. Включает все кодексы и федеральные законы. Кроме нормативных документов, в блок включены судебная и арбитражная практика, формы правовых документов, производственный календарь и другие бизнес-справки. В блок включены обновляемые интерактивные путеводители по общему плану счетов, кадровому делу и охране труда.</w:t>
      </w:r>
    </w:p>
    <w:p/>
    <w:p>
      <w:pPr/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Региональное законодательство</w:t>
      </w:r>
    </w:p>
    <w:p>
      <w:pP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Основные правовые акты вашего региона - необходимая информация для каждого специалиста, работающего с правовой информацией. Кодексы, законы, указы, постановления, приказы, разъяснительные письма и другие документы именно вашего региона.</w:t>
      </w:r>
    </w:p>
    <w:p/>
    <w:p>
      <w:pPr/>
      <w:r>
        <w:rPr>
          <w:rFonts w:ascii="Arial" w:hAnsi="Arial" w:eastAsia="Arial" w:cs="Arial"/>
          <w:lang w:val="ru-RU"/>
          <w:color w:val="120D21"/>
          <w:sz w:val="28"/>
          <w:szCs w:val="28"/>
          <w:b w:val="1"/>
          <w:bCs w:val="1"/>
        </w:rPr>
        <w:t xml:space="preserve">Судебная практика</w:t>
      </w:r>
    </w:p>
    <w:p/>
    <w:p>
      <w:pPr/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Судебная практика: приложение к консультационным блокам</w:t>
      </w:r>
    </w:p>
    <w:p>
      <w:pP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Все экспертные заключения в блоке представлены в удобной форме вопросов и ответов. Изучая их, можно понять, какие сложности возникают у других организаций в их рабочей практике. Это позволит сориентироваться в текущей ситуации, проанализировать ее с разных точек зрения и предусмотреть все возможные последствия принятого решения.</w:t>
      </w:r>
    </w:p>
    <w:p/>
    <w:p>
      <w:pPr/>
      <w:r>
        <w:rPr>
          <w:rFonts w:ascii="Arial" w:hAnsi="Arial" w:eastAsia="Arial" w:cs="Arial"/>
          <w:lang w:val="ru-RU"/>
          <w:color w:val="120D21"/>
          <w:sz w:val="28"/>
          <w:szCs w:val="28"/>
          <w:b w:val="1"/>
          <w:bCs w:val="1"/>
        </w:rPr>
        <w:t xml:space="preserve">Консультационные материалы</w:t>
      </w:r>
    </w:p>
    <w:p/>
    <w:p>
      <w:pPr/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Большая библиотека бухгалтера и кадрового работника</w:t>
      </w:r>
    </w:p>
    <w:p>
      <w:pP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Библиотека книг и периодики для бухгалтера и кадровика. Бухгалтерский и кадровый учет, оформление новых сотрудников, первичных документов, кассовые операции, начисление зарплаты, больничные листы и многое другое. Книги, статьи, ответы на вопросы, практические решения.
В информационном блоке "Большая библиотека бухгалтера и кадрового работника" представлены статьи, комментарии, разъяснения, методические материалы, ответы специалистов профильных министерств, опубликованные в более чем восьмидесяти периодических изданиях для бухгалтеров и кадровиков. В блоке содержатся более 22 тысяч примеров бухгалтерских проводок.
В блок включены интерактивные путеводители по общему плану счетов, бюджетному учёту в казённых учреждениях и органах власти, бухгалтерскому учёту в бюджетных учреждениях, в автономных учреждениях, кадровому делу.
Журнал "Автономные учреждения: акты и комментарии"
Журнал "Автономные учреждения: бухучет и налогообложение"
Журнал "Актуальная бухгалтерия"
Журнал "Актуальные вопросы учета и налогообложения"
Журнал "Акты и комментарии для бухгалтера"
Журнал "Аптека: бухгалтерский учет и налогообложение"
Журнал "АУДИТОР" Журнал "Банковское обозрение"
Журнал "БДМ. Банки и деловой мир"
Журнал "БУХ.1С"
Журнал "Бухгалтерский учет в бюджетных и некоммерческих организациях"
Журнал "Бухгалтер и закон"
Журнал "Бухгалтерский учет"
Журнал "Бухгалтерский учет в издательстве и полиграфии"
Журнал "Бухгалтерия и банки"
Журнал "Бухгалтер Крыма"
Журнал "Бюджет"
Журнал "Бюджетные организации: акты и комментарии для бухгалтера"
Журнал "Бюджетные организации: бухгалтерский учет и налогообложение"
Журнал "Учреждения здравоохранения: бухгалтерский учет и налогообложение"
Журнал "Учреждения образования: бухгалтерский учет и налогообложение"
Журнал "Ревизии и проверки финансово-хозяйственной деятельности государственных (муниципальных) учреждений"
Журнал "Вестник профессиональных бухгалтеров"
Журнал "Все для бухгалтера"
Журнал "Делопроизводство"
Журнал "Жилищно-коммунальное хозяйство: бухгалтерский учет и налогообложение"
Журнал "Кадровая служба и управление персоналом предприятия"
Журнал "Казенные учреждения: акты и комментарии"
Журнал "Казенные учреждения: бухгалтерский учет и налогообложение"
Журнал "Малая бухгалтерия"
Журнал "Международный бухгалтерский учет"
Журнал "Микрофинанс+"
Журнал "Международные банковские операции"
Журнал "МСФО и МСА в кредитной организации"
Журнал "Налог на прибыль: учет доходов и расходов"
Журнал "Налоги и финансовое право"
Журнал "Налоговая политика и практика"
Журнал "Налоговый вестник"
Журнал "Налоговый учет для бухгалтера"
Журнал "НДС: проблемы и решения"
Журнал "Новая бухгалтерия"
Журнал "Нормативные акты для бухгалтера"
Журнал "Охрана и экономика труда"
Журнал "Оплата труда: акты и комментарии для бухгалтера"
Журнал "Оплата труда: бухгалтерский учет и налогообложение"
Журнал "Оплата труда в государственном (муниципальном) учреждении: акты и комментарии для бухгалтера"
Журнал "Оплата труда в государственном (муниципальном) учреждении: бухгалтерий учет и налогообложение"
Журнал "Отдел кадров государственного (муниципального) учреждения"
Журнал "Практическая бухгалтерия"
Журнал "Практический бухгалтерский учет"
Журнал "Практический бухгалтерский учет. Официальные материалы и комментарии (720 часов)"
Журнал "Предприятия общественного питания"
Журнал "Промышленность: бухгалтерский учет и налогообложение"
Журнал "Разъяснения органов исполнительной власти по ведению финансово-хозяйственной деятельности в бюджетной сфере"
Журнал "Руководитель автономного учреждения"
Журнал "Руководитель бюджетной организации"
Журнал "Российский бухгалтер"
Журнал "Силовые министерства и ведомства: бухгалтерский учет и налогообложение"
Журнал "Строительство: акты и комментарии для бухгалтера"
Журнал "Строительство: бухгалтерский учет и налогообложение"
Журнал "Торговля: бухгалтерский учет и налогообложение"
Журнал "Трудовое право"
Журнал "Транспортные услуги: бухгалтерский учет и налогообложение"
Журнал "Туристические и гостиничные услуги: бухгалтерский учет и налогообложение"
Журнал "Управление персоналом"
Журнал "Упрощенная система налогообложения: бухгалтерский учет и налогообложение"
Журнал "Услуги связи: бухгалтерский учет и налогообложение"
Журнал "Учет и контроль"
Журнал "Учреждения культуры и искусства: бухгалтерский учет и налогообложение"
Журнал "Учреждения физической культуры и спорта: бухгалтерский учет и налогообложение"
Газета "Финансовая газета"
Журнал "Финансы"
Журнал "Финансовый вестник: финансы, налоги, страхование, бухгалтерский учет"
Журнал "Экономико-правовой бюллетень"
Журнал "ЭЖ Вопрос-Ответ"</w:t>
      </w:r>
    </w:p>
    <w:p/>
    <w:p>
      <w:pPr/>
      <w:r>
        <w:rPr>
          <w:rFonts w:ascii="Arial" w:hAnsi="Arial" w:eastAsia="Arial" w:cs="Arial"/>
          <w:lang w:val="ru-RU"/>
          <w:color w:val="120D21"/>
          <w:sz w:val="28"/>
          <w:szCs w:val="28"/>
          <w:b w:val="1"/>
          <w:bCs w:val="1"/>
        </w:rPr>
        <w:t xml:space="preserve">Специализированные блоки</w:t>
      </w:r>
    </w:p>
    <w:p/>
    <w:p>
      <w:pPr/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Энциклопедия. Формы правовых документов</w:t>
      </w:r>
    </w:p>
    <w:p>
      <w:pP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Уникальный блок содержит разработанные юристами-практиками формы различных документов, используемых в сфере гражданско-правовых отношений, процессуальных вопросах при обращениях в суд, регулирующих трудовую деятельность работника и работодателя, образцы локальных актов организаций, типовые отчетные формы и бланки документов, представляемые в государственные органы. В актуализируемую энциклопедию регулярно включаются новые формы.</w:t>
      </w:r>
    </w:p>
    <w:p/>
    <w:p>
      <w:pPr/>
      <w:r>
        <w:rPr>
          <w:rFonts w:ascii="Arial" w:hAnsi="Arial" w:eastAsia="Arial" w:cs="Arial"/>
          <w:lang w:val="ru-RU"/>
          <w:color w:val="120D21"/>
          <w:sz w:val="28"/>
          <w:szCs w:val="28"/>
          <w:b w:val="1"/>
          <w:bCs w:val="1"/>
        </w:rPr>
        <w:t xml:space="preserve">Без дополнительной оплаты</w:t>
      </w:r>
    </w:p>
    <w:p/>
    <w:p>
      <w:pPr/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ПРАЙМ</w:t>
      </w:r>
    </w:p>
    <w:p>
      <w:pP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ПРАЙМ- это услуга, позволяющая клиенту быть в курсе новостей в законодательстве в интересующей его профессиональной области (эти области клиент указывает в специальной  нкете): 
- новостная лента ПРАЙМ — индивидуально подобранные новости ежедневно приходят в систему и на электронную почту
 - аннотации к документам
- возможность построить обзор изменений законодательства</w:t>
      </w:r>
    </w:p>
    <w:p/>
    <w:p>
      <w:pPr/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Архивы ГАРАНТа</w:t>
      </w:r>
    </w:p>
    <w:p>
      <w:pP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Информационный правовой блок "Архивы ГАРАНТа. Россия" содержит узковедомственные отраслевые документы, редкие нормативные акты, организационные и индивидуальные нормативные акты. По состоянию на март 2023 года этот блок содержит свыше 348 000 документов.</w:t>
      </w:r>
    </w:p>
    <w:p/>
    <w:p>
      <w:pPr/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Большая домашняя правовая энциклопедия</w:t>
      </w:r>
    </w:p>
    <w:p>
      <w:pP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«Большая домашняя правовая энциклопедия» - уникальный продукт, доступный каждому пользователю системы ГАРАНТ без дополнительной платы. Здесь приводятся ответы на вопросы, возникающие в быту. Все, что нужно знать каждому для защиты своих прав - ответы на тысячи вопросов, возникающих в повседневной жизни, вы найдете в системе ГАРАНТ.
Информационный блок «Большая домашняя правовая энциклопедия» в системах ГАРАНТ - это актуализируемый аналитический материал, охватывающий все стороны жизни современного человека: дом, семья, дети и их обучение, работа и отдых, медицина, недвижимость, оформление наследства, банковские счета и налоги, заключение различных договоров и сделок, защита прав потребителей, обращение в суд, помощь адвокатов и многое другое. Энциклопедия отличается большим количеством вопросов-ответов по реальным бытовым ситуациям и практических примеров, в том числе из судебной практики. Вопросы-ответы подключаются из «Базы знаний службы Правового консалтинга» и с сайта Правовед.RU.</w:t>
      </w:r>
    </w:p>
    <w:p/>
    <w:p>
      <w:pPr/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База знаний службы правового консалтинга</w:t>
      </w:r>
    </w:p>
    <w:p>
      <w:pP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На основе многолетнего практического опыта работы экспертов службы Правового консалтинга сформирована и постоянно пополняется база знаний, которая включает десятки тысяч готовых решений по самым различным вопросам. Ежемесячно в базу подключается более 500 новых заключений. По состоянию на март 2023 года в блоке «База знаний службы Правового консалтинга» содержится более 138 000 подробных персональных экспертных заключений по заданным пользователями вопросам.</w:t>
      </w:r>
    </w:p>
    <w:p/>
    <w:p>
      <w:pPr/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ГАРАНТ Консалтинг: нормативные акты и судебная практика</w:t>
      </w:r>
    </w:p>
    <w:p>
      <w:pP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Специальный блок, который содержит документы, на которые ссылаются эксперты в консультациях: федеральные и региональные нормативно-правовые акты, судебная практика.</w:t>
      </w:r>
    </w:p>
    <w:p/>
    <w:p>
      <w:pPr/>
      <w:r>
        <w:rPr>
          <w:rFonts w:ascii="Arial" w:hAnsi="Arial" w:eastAsia="Arial" w:cs="Arial"/>
          <w:lang w:val="ru-RU"/>
          <w:color w:val="120D21"/>
          <w:sz w:val="28"/>
          <w:szCs w:val="28"/>
          <w:b w:val="1"/>
          <w:bCs w:val="1"/>
        </w:rPr>
        <w:t xml:space="preserve">Пакет Энциклопедий решений</w:t>
      </w:r>
    </w:p>
    <w:p/>
    <w:p>
      <w:pPr/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Пакет Энциклопедий решений для бухгалтера госсектора</w:t>
      </w:r>
    </w:p>
    <w:p>
      <w:pP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Пакет Энциклопедий решений для бухгалтера госсектора в системах ГАРАНТ включает в себя следующие Энциклопедии решений:«Энциклопедия решений. Налоги и взносы»
«Энциклопедия решений. Госсектор: учет, отчетность, финконтроль»
«Энциклопедия решений. Госзакупки»
«Энциклопедия решений. Трудовые отношения, кадры»
«Энциклопедия решений. Договоры и иные сделки»</w:t>
      </w:r>
    </w:p>
    <w:p/>
    <w:p>
      <w:pPr/>
      <w:r>
        <w:rPr>
          <w:rFonts w:ascii="Arial" w:hAnsi="Arial" w:eastAsia="Arial" w:cs="Arial"/>
          <w:lang w:val="ru-RU"/>
          <w:color w:val="120D21"/>
          <w:sz w:val="28"/>
          <w:szCs w:val="28"/>
          <w:b w:val="1"/>
          <w:bCs w:val="1"/>
        </w:rPr>
        <w:t xml:space="preserve">Энциклопедии решений</w:t>
      </w:r>
    </w:p>
    <w:p/>
    <w:p>
      <w:pPr/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Энциклопедия решений. Проверки организаций и предпринимателей</w:t>
      </w:r>
    </w:p>
    <w:p>
      <w:pP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Блок "Энциклопедия решений. Проверки организаций и предпринимателей" представляет собой подборку материалов, в которых рассмотрены основные вопросы, возникающие в ходе проведения проверок контрольными органами деятельности организаций и индивидуальных предпринимателей.
Содержит рекомендации по подготовке к проверкам и по действиям при их проведении. В каждом разделе присутствует подробное описание процедур, действий и правил поведения в той или иной ситуации.
Вся информация изложена доступным и понятным языком. Блок регулярно актуализируется и пополняется новыми материалами. Все консультационные материалы Энциклопедии соответствуют действующему законодательству, составлены с учетом судебной практики и опираются на позицию органов государственной власти и сложившуюся правоприменительную практику. В Энциклопедию входят материалы из информационного блока "Энциклопедия судебной практики. Правовые позиции судов".
Энциклопедия рассматривает следующие темы:
Налоговые проверки;
Проверки ПФР и ФСС РФ плательщиков страховых взносов;
Проверки трудовой инспекцией;
Проверки органами федерального государственного пожарного надзора;
Проверки соблюдения работодателями правил квотирования рабочих мест для инвалидов, молодежи и иных лиц;
Проверки, осуществляемые антимонопольной службой в сфере рекламы;
Прокурорские проверки.
Проверки Федеральной службой по регулированию алкогольного рынка
Проверки Федеральной миграционной службой
Государственный надзор, осуществляемый Роспотребнадзором: субъекты проверок, к кому и зачем приходит Роспотребнадзор?</w:t>
      </w:r>
    </w:p>
    <w:p/>
    <w:p>
      <w:pPr/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Энциклопедия решений.Госсектор: учет, отчетность, финконтроль</w:t>
      </w:r>
    </w:p>
    <w:p>
      <w:pP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В блоке "Энциклопедия решений. Госсектор: учет, отчетность, финконтроль" представлены аналитические материалы, предлагающие практические рекомендации по решению наиболее значимых и актуальных задач, стоящих в настоящее время перед специалистами организаций государственного сектора.
Правовые позиции финансовых органов, органов казначейства, главных распорядителей (распорядителей) бюджетных средств (учредителей) и контролирующих органов по вопросам применения действующего законодательства (в том числе бюджетного) могут существенно отличаться. В подобных условиях очень важно, чтобы вы имели возможность сформировать собственную правовую позицию по конкретному вопросу, учитывая все риски, существующие на момент принятия определенного решения. Оценить риски помогут соответствующие материалы, содержащиеся в Энциклопедии.
Материалы блока тесно увязаны с интерактивными путеводителями по бюджетному учету в казенных учреждениях и органах власти, по бухгалтерскому учету в бюджетных учреждениях и по бухгалтерскому учету в автономных учреждениях. В Путеводителях в наглядном, систематизированном виде представлена дополнительная информация, которая может понадобиться бухгалтеру.
Блок "Энциклопедия решений. Госсектор: учет, отчетность, финконтроль" включает в себя следующие материалы:
Правовые и финансовые аспекты деятельности организаций госсектора
Договоры и иные сделки в госучреждениях
Бухгалтерский учет в госучреждениях
Бухгалтерская отчетность бюджетных и автономных учреждений
Бюджетная классификация Российской Федерации
Налоги и взносы в госучреждениях
Финансовый контроль.</w:t>
      </w:r>
    </w:p>
    <w:p/>
    <w:p>
      <w:pPr/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Энциклопедия решений. Госзакупки</w:t>
      </w:r>
    </w:p>
    <w:p>
      <w:pP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Основу блока составили документы, подготовленные специально для компании "Гарант". В блоке представлены нормативные акты, разъяснения и комментарии, административная практика, судебная практика и примерные формы документов. Размещенные в блоке материалы интересны обеим сторонам процесса госзаказа - и заказчикам, и поставщикам. Материалы блока всегда актуальны и готовы к применению без дополнительной проверки. Интерактивная технология позволяет создавать уникальные по своему удобству и дизайну страницы, на которых вся информация доступна в рамках одного экрана - достаточно просто кликнуть мышью по интересующему пункту.</w:t>
      </w:r>
    </w:p>
    <w:p/>
    <w:p>
      <w:pPr/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Энциклопедия решений. Трудовые отношения, кадры</w:t>
      </w:r>
    </w:p>
    <w:p>
      <w:pP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Блок состоит из отдельных решений по кадровой тематике. Система подачи материала такова, что каждый текст с помощью ссылок связан с другими текстами.
Все материалы представляют собой не только систематизированное изложение правовых норм, но и их практический комментарий. В решениях цитирование законодательства сведено к минимуму, а его толкование приводится во всех случаях, когда это необходимо. Авторы приводят свою точку зрения в тех ситуациях, когда прямого ответа на вопрос нет в законодательстве.
Все выводы сопровождаются обоснованием, содержащим ссылки на нормативные акты, разъяснительные письма ОГВ, арбитражную практику и, что особенно важно в рамках кадровой тематики, практику судов общей юрисдикции, которым подведомственны трудовые споры.
В Энциклопедии много формул, примеров, схем и таблиц. С их помощью информация воспринимается легко, решения принимаются быстро, а знания систематизируются. В Энциклопедию входят материалы из информационного блока "Энциклопедия судебной практики. Правовые позиции судов".
В Энциклопедии представлены аналитические материалы по следующим темам:
- Прекращение трудового договора (увольнение);
- Совместительство;
- Совмещение и другие виды дополнительной работы;
- Рабочее время;
- Время отдыха;
- Сверхурочная работа, работа в ночное время, выходные и праздники;
- Заработная плата;
- Средний заработок для случаев, предусмотренных ТК РФ;
- Пособия работникам;
- Служебная командировка;
- Дисциплинарная ответственность;
- Стаж;
- Проверки трудовой инспекцией;
- и другие.
Пользователям блока Энциклопедия решений. Трудовые отношения, кадры доступен
раздел, посвященный сбору и обработке персональных данных. Здесь можно найти
информацию о принципах и условиях такой обработки, в том числе узнать об особенностях
обработки специальных категорий персональных данных, о правах субъекта персональных
данных, а также ознакомиться с информацией о проверках Роскомнадзором исполнения
требований в данной области.</w:t>
      </w:r>
    </w:p>
    <w:p/>
    <w:p>
      <w:pPr/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Энциклопедия решений. Налоги и взносы</w:t>
      </w:r>
    </w:p>
    <w:p>
      <w:pP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Блок "Энциклопедия решений. Налоги и взносы" представляет собой набор актуальных экспертных комментариев к положениям налогового законодательства РФ. Энциклопедия состоит из аналитических статей, в каждой из которых рассмотрен отдельный вопрос налогообложения. Кроме комментария к нормам НК РФ, материалы содержат краткое описание проблем, возникающих в связи с их применением, а также подборку разъясняющих писем контролирующих органов и судебной практики, если они имеются. Ко многим статьям подобраны материалы из базы знаний Правового консалтинга, иллюстрирующие применение конкретных норм, а также примеры заполнения форм документов.
В блоке "Энциклопедия решений. Налоги и взносы" представлены аналитические материалы по темам:
- Налог на добавленную стоимость;
- Налог на доходы физических лиц;
- Налог на прибыль организаций;
- Единый сельскохозяйственный налог;
- Упрощенная система налогообложения;
- Единый налог на вмененный доход;
- Транспортный налог;
- Налог на имущество организаций;
- Земельный налог;
- Налог на имущество физических лиц;
- Взносы на обязательное социальное страхование;
- Налоговые проверки;
- Ответственность за совершение налогового правонарушения;
- Обжалование актов налоговых органов, действий или бездействия их должностных лиц;
- и другие.</w:t>
      </w:r>
    </w:p>
    <w:p/>
    <w:p>
      <w:pPr/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Энциклопедия решений. Договоры и иные сделки</w:t>
      </w:r>
    </w:p>
    <w:p>
      <w:pP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Используя в работе материалы, представленные в блоке, вы всегда будете знать, какие тонкости необходимо учитывать при выборе модели договорных правоотношений, на что следует обращать особое внимание при составлении текста договора.
В блоке содержатся материалы о часто используемых гражданско-правовых договорах, применяемых как в предпринимательской деятельности, так и в отношениях между гражданами.
Помимо общей характеристики договоров рассматриваются особенности их различных видов, освещаются проблемы, связанные с исполнением этих договоров, и предлагаются пути их решения, приводятся практические рекомендации. Здесь можно найти и актуальные формы всех представленных в блоке договоров, а также сопутствующие им документы (акты, уведомления, претензии и т.д.).
В блоке содержатся материалы, дающие базовые сведения о гражданско-правовых договорах, а также о порядке и формах осуществления расчетов между контрагентами. Такая информация будет необходима любому субъекту, имеющему намерение вступить в договорные отношения независимо от выбранного вида договора. В Энциклопедию входят материалы из информационного блока "Энциклопедия судебной практики. Правовые позиции судов".
В блоке представлены следующие материалы:
Гражданско-правовой договор. Общие положения
Доверенность
Купля-продажа
Поставка
Мена
Дарение
Аренда
Безвозмездное пользование
Подряд
Выполнение научно-исследовательских, опытно-конструкторских и технологических работ
Возмездное оказание услуг
Перевозка
Заем
Кредит
Расчеты
Хранение
Страхование
Поручение
Комиссия
Агентирование
Лицензионный договор
Цессия.</w:t>
      </w:r>
    </w:p>
    <w:p/>
    <w:p>
      <w:pPr/>
      <w:r>
        <w:rPr>
          <w:rFonts w:ascii="Arial" w:hAnsi="Arial" w:eastAsia="Arial" w:cs="Arial"/>
          <w:lang w:val="ru-RU"/>
          <w:color w:val="120D21"/>
          <w:sz w:val="28"/>
          <w:szCs w:val="28"/>
          <w:b w:val="1"/>
          <w:bCs w:val="1"/>
        </w:rPr>
        <w:t xml:space="preserve">Правовая Поддержка</w:t>
      </w:r>
    </w:p>
    <w:p/>
    <w:p>
      <w:pPr/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Горячая
линия</w:t>
      </w:r>
    </w:p>
    <w:p>
      <w:pP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Эта услуга доступна для всех
пользователей системы без
дополнительной оплаты. С помошью
чата в интернет-версии системы,
кнопки «Задать вопрос эксперту» или
просто по телефону, клиент может
связаться с нашими специалистами и
задать вопрос, касающийся:
- помощи в поиске в системе ответа
на свой правовой вопрос
- помощи в розыске редких
документов
- определении статуса документа
- вопросы, касающиеся сервисного
обслуживан</w:t>
      </w:r>
    </w:p>
    <w:p/>
    <w:p>
      <w:pPr/>
      <w:r>
        <w:rPr>
          <w:rFonts w:ascii="Arial" w:hAnsi="Arial" w:eastAsia="Arial" w:cs="Arial"/>
          <w:lang w:val="ru-RU"/>
          <w:color w:val="120D21"/>
          <w:sz w:val="28"/>
          <w:szCs w:val="28"/>
          <w:b w:val="1"/>
          <w:bCs w:val="1"/>
        </w:rPr>
        <w:t xml:space="preserve">Legal Tech</w:t>
      </w:r>
    </w:p>
    <w:p/>
    <w:p>
      <w:pPr/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Конструктор правовых документов</w:t>
      </w:r>
    </w:p>
    <w:p>
      <w:pP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Создан для юристов, бухгалтеров, кадровиков, специалистов по закупкам, руководителей.
Сервис позволяет быстро создать и заполнить требуемый документ (договор, доверенность, исковое заявление, учетную политику и многие другие формы) с использованием одного из 500 интерактивных шаблонов, разработанных специалистами компании «Гарант».</w:t>
      </w:r>
    </w:p>
    <w:p/>
    <w:p>
      <w:pPr/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Интернет-семинары</w:t>
      </w:r>
    </w:p>
    <w:p>
      <w:pP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Создан для юристов, бухгалтеров, кадровиков, специалистов по госзакупкам.
Сервис обеспечивает возможность непосредственно в системе ГАРАНТ
познакомиться с записями состоявшихся Всероссийских спутниковых онлайн-семинаров по
актуальным вопросам гражданского законодательства, налогообложения, бухучета, закупок,
бюджетного законодательства, кадрового дела и другим темам. Каждый интернет-семинар
сопровождается ссылкой для скачивания материалов по обсуждаемой теме, а также программой
мероприятия.</w:t>
      </w:r>
    </w:p>
    <w:p/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120D21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3994.251968503937" w:type="dxa"/>
        <w:gridCol w:w="1294.2519685039372" w:type="dxa"/>
        <w:gridCol w:w="794.2519685039372" w:type="dxa"/>
        <w:gridCol w:w="1294.2519685039372" w:type="dxa"/>
        <w:gridCol w:w="794.2519685039372" w:type="dxa"/>
        <w:gridCol w:w="794.2519685039372" w:type="dxa"/>
        <w:gridCol w:w="1294.2519685039372" w:type="dxa"/>
      </w:tblGrid>
      <w:tblPr>
        <w:tblStyle w:val="TableStyle"/>
      </w:tblPr>
      <w:tr>
        <w:trPr/>
        <w:tc>
          <w:tcPr>
            <w:tcW w:w="3994.251968503937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3964.251968503937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3964.251968503937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1294.2519685039372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1264.2519685039372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264.2519685039372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 по прайсу</w:t>
                  </w:r>
                </w:p>
              </w:tc>
            </w:tr>
          </w:tbl>
          <w:p/>
        </w:tc>
        <w:tc>
          <w:tcPr>
            <w:tcW w:w="794.2519685039372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764.2519685039372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764.2519685039372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Скидка, %</w:t>
                  </w:r>
                </w:p>
              </w:tc>
            </w:tr>
          </w:tbl>
          <w:p/>
        </w:tc>
        <w:tc>
          <w:tcPr>
            <w:tcW w:w="1294.2519685039372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1264.2519685039372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264.2519685039372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794.2519685039372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764.2519685039372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764.2519685039372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794.2519685039372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764.2519685039372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764.2519685039372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1294.2519685039372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1264.2519685039372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264.2519685039372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3994.251968503937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3964.251968503937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3964.251968503937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Гарант-Бухгалтер госсектора Интернет 1 ОД</w:t>
                  </w:r>
                </w:p>
              </w:tc>
            </w:tr>
          </w:tbl>
          <w:p/>
        </w:tc>
        <w:tc>
          <w:tcPr>
            <w:tcW w:w="1294.2519685039372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1264.2519685039372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264.2519685039372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69336</w:t>
                  </w:r>
                </w:p>
              </w:tc>
            </w:tr>
          </w:tbl>
          <w:p/>
        </w:tc>
        <w:tc>
          <w:tcPr>
            <w:tcW w:w="794.2519685039372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764.2519685039372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764.2519685039372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20</w:t>
                  </w:r>
                </w:p>
              </w:tc>
            </w:tr>
          </w:tbl>
          <w:p/>
        </w:tc>
        <w:tc>
          <w:tcPr>
            <w:tcW w:w="1294.2519685039372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1264.2519685039372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264.2519685039372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55468.8</w:t>
                  </w:r>
                </w:p>
              </w:tc>
            </w:tr>
          </w:tbl>
          <w:p/>
        </w:tc>
        <w:tc>
          <w:tcPr>
            <w:tcW w:w="794.2519685039372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764.2519685039372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764.2519685039372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794.2519685039372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764.2519685039372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764.2519685039372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лиц. 12 мес.</w:t>
                  </w:r>
                </w:p>
              </w:tc>
            </w:tr>
          </w:tbl>
          <w:p/>
        </w:tc>
        <w:tc>
          <w:tcPr>
            <w:tcW w:w="1294.2519685039372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1264.2519685039372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264.2519685039372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55468.8</w:t>
                  </w:r>
                </w:p>
              </w:tc>
            </w:tr>
          </w:tbl>
          <w:p/>
        </w:tc>
      </w:tr>
    </w:tbl>
    <w:p/>
    <w:p/>
    <w:tbl>
      <w:tblGrid>
        <w:gridCol w:w="3968.5039370078744" w:type="dxa"/>
        <w:gridCol w:w="3968.5039370078744" w:type="dxa"/>
        <w:gridCol w:w="3968.5039370078744" w:type="dxa"/>
      </w:tblGrid>
      <w:tr>
        <w:trPr>
          <w:trHeight w:val="900" w:hRule="atLeast"/>
        </w:trPr>
        <w:tc>
          <w:tcPr>
            <w:tcW w:w="3968.5039370078744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  <w:noWrap/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3968.5039370078744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  <w:noWrap/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top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center; mso-position-vertical:center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3968.5039370078744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  <w:noWrap/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/>
            </w:r>
          </w:p>
        </w:tc>
      </w:tr>
    </w:tbl>
    <w:p>
      <w:r>
        <w:br w:type="page"/>
      </w:r>
    </w:p>
    <w:p/>
    <w:tbl>
      <w:tblGrid>
        <w:gridCol w:w="5714.645669291339" w:type="dxa"/>
        <w:gridCol w:w="833.3858267716537" w:type="dxa"/>
        <w:gridCol w:w="5952.755905511812" w:type="dxa"/>
      </w:tblGrid>
      <w:tblPr>
        <w:tblStyle w:val="InvoiceHeaderTableStyle"/>
      </w:tblPr>
      <w:tr>
        <w:trPr>
          <w:trHeight w:val="800" w:hRule="atLeast"/>
        </w:trPr>
        <w:tc>
          <w:tcPr>
            <w:tcW w:w="5714.645669291339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5584.645669291339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00" w:hRule="atLeast"/>
              </w:trPr>
              <w:tc>
                <w:tcPr>
                  <w:tcW w:w="5584.645669291339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Южный филиал АО "Райффайзенбанк"</w:t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vAlign w:val="bottom"/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33.3858267716537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833.3858267716537" w:type="dxa"/>
            </w:tblGrid>
            <w:tblPr>
              <w:tblW w:w="0" w:type="auto"/>
              <w:tblCellSpacing w:w="0" w:type="dxa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33.3858267716537" w:type="dxa"/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БИК</w:t>
                  </w:r>
                </w:p>
              </w:tc>
            </w:tr>
          </w:tbl>
          <w:tbl>
            <w:tblGrid>
              <w:gridCol w:w="833.3858267716537" w:type="dxa"/>
            </w:tblGrid>
            <w:tblPr>
              <w:tblW w:w="0" w:type="auto"/>
              <w:tblCellSpacing w:w="0" w:type="dxa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33.3858267716537" w:type="dxa"/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Cч. №</w:t>
                  </w:r>
                </w:p>
              </w:tc>
            </w:tr>
          </w:tbl>
          <w:p/>
        </w:tc>
        <w:tc>
          <w:tcPr>
            <w:tcW w:w="5952.75590551181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5584.645669291339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5584.645669291339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40349556</w:t>
                  </w:r>
                </w:p>
              </w:tc>
            </w:tr>
            <w:tr>
              <w:trPr>
                <w:trHeight w:val="277.77777777777777" w:hRule="atLeast"/>
              </w:trPr>
              <w:tc>
                <w:tcPr>
                  <w:tcW w:w="5584.645669291339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</w:tbl>
          <w:p/>
        </w:tc>
      </w:tr>
      <w:tr>
        <w:trPr>
          <w:trHeight w:val="222.22222222222223" w:hRule="atLeast"/>
        </w:trPr>
        <w:tc>
          <w:tcPr>
            <w:tcW w:w="5714.645669291339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300" w:type="dxa"/>
              <w:gridCol w:w="1500" w:type="dxa"/>
              <w:gridCol w:w="300" w:type="dxa"/>
              <w:gridCol w:w="3614.645669291339" w:type="dxa"/>
            </w:tblGrid>
            <w:tblPr>
              <w:tblW w:w="0" w:type="auto"/>
              <w:tblCellSpacing w:w="0" w:type="dxa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300" w:type="dxa"/>
                  <w:tcBorders>
                    <w:right w:val="single" w:sz="4" w:color="000000"/>
                  </w:tcBorders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ИНН</w:t>
                  </w:r>
                </w:p>
              </w:tc>
              <w:tc>
                <w:tcPr>
                  <w:tcW w:w="1500" w:type="dxa"/>
                  <w:tcBorders>
                    <w:right w:val="single" w:sz="4" w:color="000000"/>
                  </w:tcBorders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262900156801</w:t>
                  </w:r>
                </w:p>
              </w:tc>
              <w:tc>
                <w:tcPr>
                  <w:tcW w:w="300" w:type="dxa"/>
                  <w:tcBorders>
                    <w:right w:val="single" w:sz="4" w:color="000000"/>
                  </w:tcBorders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КПП</w:t>
                  </w:r>
                </w:p>
              </w:tc>
              <w:tc>
                <w:tcPr>
                  <w:tcW w:w="3614.645669291339" w:type="dxa"/>
                  <w:noWrap/>
                </w:tcPr>
                <w:p/>
              </w:tc>
            </w:tr>
          </w:tbl>
          <w:p/>
        </w:tc>
        <w:tc>
          <w:tcPr>
            <w:tcW w:w="833.3858267716537" w:type="dxa"/>
            <w:tcBorders>
              <w:right w:val="single" w:sz="4" w:color="000000"/>
            </w:tcBorders>
            <w:noWrap/>
          </w:tcPr>
          <w:tbl>
            <w:tblGrid>
              <w:gridCol w:w="833.3858267716537" w:type="dxa"/>
            </w:tblGrid>
            <w:tblPr>
              <w:tblW w:w="0" w:type="auto"/>
              <w:tblCellSpacing w:w="0" w:type="dxa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833.3858267716537" w:type="dxa"/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Сч. №</w:t>
                  </w:r>
                </w:p>
              </w:tc>
            </w:tr>
          </w:tbl>
          <w:p/>
        </w:tc>
        <w:tc>
          <w:tcPr>
            <w:tcW w:w="5952.755905511812" w:type="dxa"/>
            <w:tcBorders>
              <w:right w:val="single" w:sz="4" w:color="000000"/>
            </w:tcBorders>
            <w:noWrap/>
          </w:tcPr>
          <w:tbl>
            <w:tblGrid>
              <w:gridCol w:w="5952.755905511812" w:type="dxa"/>
            </w:tblGrid>
            <w:tblPr>
              <w:tblW w:w="0" w:type="auto"/>
              <w:tblCellSpacing w:w="0" w:type="dxa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5952.755905511812" w:type="dxa"/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40802810826000050639</w:t>
                  </w:r>
                </w:p>
              </w:tc>
            </w:tr>
          </w:tbl>
          <w:p/>
        </w:tc>
      </w:tr>
      <w:tr>
        <w:trPr>
          <w:trHeight w:val="577.7777777777778" w:hRule="atLeast"/>
        </w:trPr>
        <w:tc>
          <w:tcPr>
            <w:tcW w:w="5714.645669291339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5584.645669291339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88.8888888888889" w:hRule="atLeast"/>
              </w:trPr>
              <w:tc>
                <w:tcPr>
                  <w:tcW w:w="5584.645669291339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ИП Савчук А.В.</w:t>
                  </w:r>
                </w:p>
              </w:tc>
            </w:tr>
            <w:tr>
              <w:trPr>
                <w:trHeight w:val="288.8888888888889" w:hRule="atLeast"/>
              </w:trPr>
              <w:tc>
                <w:tcPr>
                  <w:tcW w:w="5714.645669291339" w:type="dxa"/>
                  <w:vAlign w:val="bottom"/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Получатель</w:t>
                  </w:r>
                </w:p>
              </w:tc>
            </w:tr>
          </w:tbl>
          <w:p/>
        </w:tc>
        <w:tc>
          <w:tcPr>
            <w:tcW w:w="833.3858267716537" w:type="dxa"/>
            <w:tcBorders>
              <w:right w:val="single" w:sz="4" w:color="000000"/>
              <w:bottom w:val="single" w:sz="4" w:color="000000"/>
            </w:tcBorders>
            <w:noWrap/>
          </w:tcPr>
          <w:tbl>
            <w:tblGrid>
              <w:gridCol w:w="833.3858267716537" w:type="dxa"/>
            </w:tblGrid>
            <w:tr>
              <w:trPr>
                <w:trHeight w:val="500" w:hRule="atLeast"/>
              </w:trPr>
              <w:tc>
                <w:tcPr>
                  <w:tcW w:w="833.3858267716537" w:type="dxa"/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33.3858267716537" w:type="dxa"/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5952.755905511812" w:type="dxa"/>
            <w:tcBorders>
              <w:right w:val="single" w:sz="4" w:color="000000"/>
              <w:bottom w:val="single" w:sz="4" w:color="000000"/>
            </w:tcBorders>
            <w:noWrap/>
          </w:tcPr>
          <w:tbl>
            <w:tblGrid>
              <w:gridCol w:w="833.3858267716537" w:type="dxa"/>
            </w:tblGrid>
            <w:tr>
              <w:trPr>
                <w:trHeight w:val="500" w:hRule="atLeast"/>
              </w:trPr>
              <w:tc>
                <w:tcPr>
                  <w:tcW w:w="833.3858267716537" w:type="dxa"/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33.3858267716537" w:type="dxa"/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</w:tbl>
          <w:p/>
        </w:tc>
      </w:tr>
    </w:tbl>
    <w:p/>
    <w:p/>
    <w:p/>
    <w:p>
      <w:pPr>
        <w:jc w:val="center"/>
        <w:spacing w:before="100" w:after="1" w:line="240" w:lineRule="auto"/>
      </w:pPr>
      <w:r>
        <w:rPr>
          <w:rFonts w:ascii="Arial" w:hAnsi="Arial" w:eastAsia="Arial" w:cs="Arial"/>
          <w:lang w:val="ru-RU"/>
          <w:color w:val="120D21"/>
          <w:sz w:val="28"/>
          <w:szCs w:val="28"/>
          <w:b w:val="1"/>
          <w:bCs w:val="1"/>
        </w:rPr>
        <w:t xml:space="preserve">Счет на оплату N 198024</w:t>
      </w:r>
    </w:p>
    <w:p/>
    <w:p/>
    <w:tbl>
      <w:tblGrid>
        <w:gridCol w:w="10465.511811023624" w:type="dxa"/>
      </w:tblGrid>
      <w:tr>
        <w:trPr/>
        <w:tc>
          <w:tcPr>
            <w:tcW w:w="10465.511811023624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  <w:noWrap/>
          </w:tcPr>
          <w:tbl>
            <w:tblGrid>
              <w:gridCol w:w="10465.511811023624" w:type="dxa"/>
            </w:tblGrid>
            <w:tr>
              <w:trPr/>
              <w:tc>
                <w:tcPr>
                  <w:tcW w:w="10465.511811023624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Поставщик: 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Индивидуальный Предприниматель Савчук Анатолий Викторович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ИНН: 262900156801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адрес:357340, Ставропольский край, Лермонтов г, Октябрьская ул, дом № 50, кв.28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телефон:7(800)7000394</w:t>
                  </w:r>
                </w:p>
              </w:tc>
            </w:tr>
            <w:tr>
              <w:trPr/>
              <w:tc>
                <w:tcPr>
                  <w:tcW w:w="10465.511811023624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Покупатель: 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Министерство труда и социального развития РСО-А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ИНН 1234567890</w:t>
                  </w:r>
                </w:p>
              </w:tc>
            </w:tr>
          </w:tbl>
          <w:p/>
        </w:tc>
      </w:tr>
    </w:tbl>
    <w:p/>
    <w:tbl>
      <w:tblGrid>
        <w:gridCol w:w="5316.377952755905" w:type="dxa"/>
        <w:gridCol w:w="2616.377952755906" w:type="dxa"/>
        <w:gridCol w:w="2116.377952755906" w:type="dxa"/>
        <w:gridCol w:w="2116.377952755906" w:type="dxa"/>
        <w:gridCol w:w="2616.377952755906" w:type="dxa"/>
      </w:tblGrid>
      <w:tblPr>
        <w:tblStyle w:val="TableStyle"/>
      </w:tblPr>
      <w:tr>
        <w:trPr>
          <w:trHeight w:val="400" w:hRule="atLeast"/>
        </w:trPr>
        <w:tc>
          <w:tcPr>
            <w:tcW w:w="5316.37795275590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5286.377952755905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286.37795275590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616.377952755906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2586.377952755906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586.377952755906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2116.377952755906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2086.377952755906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086.377952755906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2116.377952755906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2086.377952755906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086.377952755906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616.377952755906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2586.377952755906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586.377952755906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5316.37795275590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5286.377952755905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286.37795275590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Гарант-Бухгалтер госсектора Интернет 1 ОД</w:t>
                  </w:r>
                </w:p>
              </w:tc>
            </w:tr>
          </w:tbl>
          <w:p/>
        </w:tc>
        <w:tc>
          <w:tcPr>
            <w:tcW w:w="2616.377952755906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2586.377952755906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586.377952755906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55468.8</w:t>
                  </w:r>
                </w:p>
              </w:tc>
            </w:tr>
          </w:tbl>
          <w:p/>
        </w:tc>
        <w:tc>
          <w:tcPr>
            <w:tcW w:w="2116.377952755906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2086.377952755906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086.377952755906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2116.377952755906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2086.377952755906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086.377952755906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лиц. 12 мес.</w:t>
                  </w:r>
                </w:p>
              </w:tc>
            </w:tr>
          </w:tbl>
          <w:p/>
        </w:tc>
        <w:tc>
          <w:tcPr>
            <w:tcW w:w="2616.377952755906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2586.377952755906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586.377952755906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55468.8</w:t>
                  </w:r>
                </w:p>
              </w:tc>
            </w:tr>
          </w:tbl>
          <w:p/>
        </w:tc>
      </w:tr>
    </w:tbl>
    <w:p/>
    <w:p>
      <w:pPr>
        <w:jc w:val="end"/>
        <w:spacing w:before="100" w:after="1" w:line="240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Итого: 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Пятьдесят пять тысяч четыреста шестьдесят восемь рублей восемьдесят копеек без НДС</w:t>
      </w:r>
    </w:p>
    <w:p/>
    <w:tbl>
      <w:tblGrid>
        <w:gridCol w:w="3968.5039370078744" w:type="dxa"/>
        <w:gridCol w:w="3968.5039370078744" w:type="dxa"/>
        <w:gridCol w:w="3968.5039370078744" w:type="dxa"/>
      </w:tblGrid>
      <w:tr>
        <w:trPr>
          <w:trHeight w:val="900" w:hRule="atLeast"/>
        </w:trPr>
        <w:tc>
          <w:tcPr>
            <w:tcW w:w="3968.5039370078744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  <w:noWrap/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3968.5039370078744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  <w:noWrap/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top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center; mso-position-vertical:center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3968.5039370078744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  <w:noWrap/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/>
            </w:r>
          </w:p>
        </w:tc>
      </w:tr>
    </w:tbl>
    <w:sectPr>
      <w:headerReference w:type="default" r:id="rId9"/>
      <w:pgSz w:orient="portrait" w:w="11905.511811023624" w:h="16837.795275590554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709.4803149606305" w:type="dxa"/>
      <w:gridCol w:w="5756.031496062993" w:type="dxa"/>
    </w:tblGrid>
    <w:tr>
      <w:trPr/>
      <w:tc>
        <w:tcPr>
          <w:tcW w:w="4709.4803149606305" w:type="dxa"/>
          <w:noWrap/>
        </w:tcPr>
        <w:tbl>
          <w:tblGrid>
            <w:gridCol w:w="4709.4803149606305" w:type="dxa"/>
          </w:tblGrid>
          <w:tr>
            <w:trPr/>
            <w:tc>
              <w:tcPr>
                <w:tcW w:w="4709.4803149606305" w:type="dxa"/>
                <w:noWrap/>
              </w:tcPr>
              <w:p>
                <w:pPr>
                  <w:spacing w:before="0" w:after="0" w:line="240" w:lineRule="auto"/>
                </w:pPr>
                <w:r>
                  <w:rPr>
                    <w:rFonts w:ascii="Arial" w:hAnsi="Arial" w:eastAsia="Arial" w:cs="Arial"/>
                    <w:lang w:val="ru-RU"/>
                    <w:color w:val="120D21"/>
                    <w:sz w:val="16"/>
                    <w:szCs w:val="16"/>
                  </w:rPr>
                  <w:t xml:space="preserve">Индивидуальный Предприниматель Савчук Анатолий Викторович, ИНН: 262900156801, </w:t>
                </w:r>
              </w:p>
            </w:tc>
          </w:tr>
          <w:tr>
            <w:trPr/>
            <w:tc>
              <w:tcPr>
                <w:tcW w:w="4709.4803149606305" w:type="dxa"/>
                <w:noWrap/>
              </w:tcPr>
              <w:p>
                <w:pPr>
                  <w:spacing w:before="0" w:after="0" w:line="240" w:lineRule="auto"/>
                </w:pPr>
                <w:r>
                  <w:rPr>
                    <w:rFonts w:ascii="Arial" w:hAnsi="Arial" w:eastAsia="Arial" w:cs="Arial"/>
                    <w:lang w:val="ru-RU"/>
                    <w:color w:val="120D21"/>
                    <w:sz w:val="16"/>
                    <w:szCs w:val="16"/>
                  </w:rPr>
                  <w:t xml:space="preserve">357340, Ставропольский край, Лермонтов г, Матвиенко ул, дом № 12, корпус 2, 7(800)7000394, info@garant26.ru</w:t>
                </w:r>
              </w:p>
            </w:tc>
          </w:tr>
        </w:tbl>
        <w:p/>
      </w:tc>
      <w:tc>
        <w:tcPr>
          <w:tcW w:w="5756.031496062993" w:type="dxa"/>
          <w:noWrap/>
        </w:tcPr>
        <w:p>
          <w:pPr>
            <w:jc w:val="end"/>
          </w:pPr>
          <w:r>
            <w:pict>
              <v:shape type="#_x0000_t75" stroked="f" style="width:120pt; height:50.896551724138pt; margin-left:0pt; margin-top:0pt; mso-position-horizontal:left; mso-position-vertical:top; mso-position-horizontal-relative:char; mso-position-vertical-relative:line; z-index:-2147483647;"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header" Target="head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2024-02-20T09:05:04+00:00</dcterms:created>
  <dcterms:modified xsi:type="dcterms:W3CDTF">2024-02-20T09:05:04+00:00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