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версия на 1 одновременный доступ к системе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1 месяца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9014</w:t>
      </w:r>
    </w:p>
    <w:p>
      <w:pPr>
        <w:pStyle w:val="ColorBoldText"/>
      </w:pPr>
      <w:r>
        <w:rPr>
          <w:b w:val="1"/>
          <w:bCs w:val="1"/>
        </w:rPr>
        <w:t xml:space="preserve">Гарант-Главный бухгалтер госсектора Интернет версия на 1 одновременный доступ к системе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58131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6 месяцев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58131</w:t>
      </w:r>
    </w:p>
    <w:p>
      <w:pPr>
        <w:pStyle w:val="ColorBoldText"/>
      </w:pPr>
      <w:r>
        <w:rPr>
          <w:b w:val="1"/>
          <w:bCs w:val="1"/>
        </w:rPr>
        <w:t xml:space="preserve">Гарант-Юрист Интернет версия на 1 одновременный доступ к системе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151435.2</w:t>
      </w:r>
      <w:r>
        <w:rPr>
          <w:b w:val="1"/>
          <w:bCs w:val="1"/>
        </w:rPr>
        <w:t xml:space="preserve">  При внесении предоплаты от </w:t>
      </w:r>
      <w:r>
        <w:rPr>
          <w:color w:val="FF0000"/>
          <w:b w:val="1"/>
          <w:bCs w:val="1"/>
        </w:rPr>
        <w:t xml:space="preserve">  24 месяцев</w:t>
      </w:r>
      <w:br/>
      <w:r>
        <w:rPr>
          <w:b w:val="1"/>
          <w:bCs w:val="1"/>
        </w:rPr>
        <w:t xml:space="preserve">Сумма предоплаты</w:t>
      </w:r>
      <w:r>
        <w:rPr>
          <w:color w:val="FF0000"/>
          <w:b w:val="1"/>
          <w:bCs w:val="1"/>
        </w:rPr>
        <w:t xml:space="preserve">  151435.2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восемь тысяч сто тридцать один рубль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24 месяцев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пятьдесят одна тысяча четыреста тридцать пять рублей двадцать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2024-01-29T17:53:04+00:00</dcterms:created>
  <dcterms:modified xsi:type="dcterms:W3CDTF">2024-01-29T17:53:04+00:00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