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Гарант-Юрист Интернет версия на 1 одновременный доступ к системе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9014</w:t>
      </w:r>
      <w:r>
        <w:rPr>
          <w:b w:val="1"/>
          <w:bCs w:val="1"/>
        </w:rPr>
        <w:t xml:space="preserve">  При заключении договора от </w:t>
      </w:r>
      <w:r>
        <w:rPr>
          <w:color w:val="FF0000"/>
          <w:b w:val="1"/>
          <w:bCs w:val="1"/>
        </w:rPr>
        <w:t xml:space="preserve">  12 месяцев</w:t>
      </w:r>
      <w:br/>
      <w:r>
        <w:rPr>
          <w:b w:val="1"/>
          <w:bCs w:val="1"/>
        </w:rPr>
        <w:t xml:space="preserve">Сумма за весь период обслуживания</w:t>
      </w:r>
      <w:r>
        <w:rPr>
          <w:color w:val="FF0000"/>
          <w:b w:val="1"/>
          <w:bCs w:val="1"/>
        </w:rPr>
        <w:t xml:space="preserve">  108168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При заключении договора от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 за весь период обслуживания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 месяцев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108168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Сто восемь тысяч сто шестьдесят восемь рублей ноль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2024-01-29T12:33:09+00:00</dcterms:created>
  <dcterms:modified xsi:type="dcterms:W3CDTF">2024-01-29T12:33:09+00:00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