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/><w:r><w:rPr><w:rFonts w:ascii="Arial" w:hAnsi="Arial" w:eastAsia="Arial" w:cs="Arial"/><w:lang w:val="ru-RU"/><w:color w:val="0962ae"/><w:sz w:val="20"/><w:szCs w:val="20"/></w:rPr><w:t xml:space="preserve">
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\r\nС системой ГАРАНТ Вы сможете: \r\n\r\n<color>Решить любую задачу с полной информационной и правовой поддержкой:</color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\r\n<color>Получать индивидуальные заключения по Вашим вопросам от экспертов федерального уровня! </color>\r\n\r\n<color>Пользоваться качественным сервисным обслуживанием:</color>  возможность обращаться на Горячую линию правовой поддержки, обучение работе с системой, техническая поддержка. \r\n<color>Работать только с актуальной правовой информацией:</color>  комплект обновляется 3 раза в день! \r\n<color>Всегда иметь под рукой наиболее полную базу: </color> Вам доступны более 150 000 000 документов.  \r\n\r\n<color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\r\n<color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\r\n\r\n<color>Работать с системой при первой необходимости:</color> в любое время и в любом месте – на работе, в командировке, на заседании суда, дома.  \r\n<color>Получить полную информацию о контрагенте, а также защитить свои активы</color> с помощью сервисов «Экспресс Проверка» и «Бизнес на контроле». \r\n \r\n<color>Быстро и правильно</color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\r\n<color>Организовать профессиональное обучение!</color> Повышайте свою квалификацию и узнавайте мнение экспертов по актуальным правовым вопросам и изменениям в законодательстве.  \r\n<color>Оптимизировать свои расходы на информационно-правовое обеспечение</color> благодаря нашей гибкой ценовой политике и специальным условиям!"
</w:t></w:r></w:p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Цена за комплект</w:t></w:r></w:p><w:tbl><w:tblGrid><w:gridCol w:w="4050" w:type="dxa"/><w:gridCol w:w="1350" w:type="dxa"/><w:gridCol w:w="850" w:type="dxa"/><w:gridCol w:w="1350" w:type="dxa"/><w:gridCol w:w="850" w:type="dxa"/><w:gridCol w:w="850" w:type="dxa"/><w:gridCol w:w="1350" w:type="dxa"/></w:tblGrid><w:tblPr><w:tblStyle w:val="TableStyle"/></w:tblP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Наименование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 по прайсу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Скидка, %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Количество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Единица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Сумма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+ 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54084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0.9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абон. 6 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/w:tr></w:tbl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Информационное наполнение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Региональное законодательство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Отраслевое законодательство России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высших судебных органов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апелляционных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судов общей юрисдикции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судебной практики. Правовые позиции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Судебная практика: приложение к консультационным блокам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практики мировых судей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определений арбитражных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библиотека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Энциклопедия. Формы правовых документов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ПРАЙМ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Архивы ГАРАНТа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домашняя правовая энциклопедия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База знаний службы правового консалтинга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ГАРАНТ Консалтинг: нормативные акты и судебная практика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Пакет Энциклопедий решений для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Проверки организаций и предпринимателей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Госзакупки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Трудовые отношения, кадры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Договоры и иные сделки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Корпоративное право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Горячая
линия</w:t></w:r></w:p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sectPr><w:headerReference w:type="default" r:id="rId9"/><w:footerReference w:type="default" r:id="rId10"/><w:pgSz w:orient="portrait" w:w="12240" w:h="15840"/><w:pgMar w:top="1440" w:right="720" w:bottom="1440" w:left="72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2024-01-18T11:26:08+00:00</dcterms:created>
  <dcterms:modified xsi:type="dcterms:W3CDTF">2024-01-18T11:26:08+00:00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