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\r\nС системой ГАРАНТ Вы сможете: \r\n\r\n</w:t>
      </w:r>
    </w:p>
    <w:p>
      <w:pPr/>
      <w:r>
        <w:rPr>
          <w:rFonts w:ascii="Arial" w:hAnsi="Arial" w:eastAsia="Arial" w:cs="Arial"/>
          <w:color w:val="FF0000"/>
          <w:sz w:val="24"/>
          <w:szCs w:val="24"/>
        </w:rPr>
        <w:t xml:space="preserve">Решить любую задачу с полной информационной и правовой поддержкой: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\r\n</w:t>
      </w:r>
    </w:p>
    <w:p>
      <w:pPr/>
      <w:r>
        <w:rPr>
          <w:rFonts w:ascii="Arial" w:hAnsi="Arial" w:eastAsia="Arial" w:cs="Arial"/>
          <w:color w:val="FF0000"/>
          <w:sz w:val="24"/>
          <w:szCs w:val="24"/>
        </w:rPr>
        <w:t xml:space="preserve">Получать индивидуальные заключения по Вашим вопросам от экспертов федерального уровня!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\r\n\r\n</w:t>
      </w:r>
    </w:p>
    <w:p>
      <w:pPr/>
      <w:r>
        <w:rPr>
          <w:rFonts w:ascii="Arial" w:hAnsi="Arial" w:eastAsia="Arial" w:cs="Arial"/>
          <w:color w:val="FF0000"/>
          <w:sz w:val="24"/>
          <w:szCs w:val="24"/>
        </w:rPr>
        <w:t xml:space="preserve">Пользоваться качественным сервисным обслуживанием: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  возможность обращаться на Горячую линию правовой поддержки, обучение работе с системой, техническая поддержка. \r\n</w:t>
      </w:r>
    </w:p>
    <w:p>
      <w:pPr/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только с актуальной правовой информацией: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  комплект обновляется 3 раза в день! \r\n</w:t>
      </w:r>
    </w:p>
    <w:p>
      <w:pPr/>
      <w:r>
        <w:rPr>
          <w:rFonts w:ascii="Arial" w:hAnsi="Arial" w:eastAsia="Arial" w:cs="Arial"/>
          <w:color w:val="FF0000"/>
          <w:sz w:val="24"/>
          <w:szCs w:val="24"/>
        </w:rPr>
        <w:t xml:space="preserve">Всегда иметь под рукой наиболее полную базу: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 Вам доступны более 150 000 000 документов.  \r\n\r\n</w:t>
      </w:r>
    </w:p>
    <w:p>
      <w:pPr/>
      <w:r>
        <w:rPr>
          <w:rFonts w:ascii="Arial" w:hAnsi="Arial" w:eastAsia="Arial" w:cs="Arial"/>
          <w:color w:val="FF0000"/>
          <w:sz w:val="24"/>
          <w:szCs w:val="24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\r\n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\r\n\r\n</w:t>
      </w:r>
    </w:p>
    <w:p>
      <w:pPr/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с системой при перво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6448.5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25794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/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бухгалтера госсектора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2024-01-18T15:38:01+00:00</dcterms:created>
  <dcterms:modified xsi:type="dcterms:W3CDTF">2024-01-18T15:38:01+00:00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