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br w:type="page"/>
      </w:r>
    </w:p>
    <w:p/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Цена за комплект</w:t>
      </w:r>
    </w:p>
    <w:tbl>
      <w:tblGrid>
        <w:gridCol w:w="4725" w:type="dxa"/>
        <w:gridCol w:w="2025" w:type="dxa"/>
        <w:gridCol w:w="1525" w:type="dxa"/>
        <w:gridCol w:w="1525" w:type="dxa"/>
        <w:gridCol w:w="2025" w:type="dxa"/>
      </w:tblGrid>
      <w:tblPr>
        <w:tblStyle w:val="TableStyle"/>
      </w:tblP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Наименование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Цена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Количество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Единица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Сумма</w:t>
                  </w:r>
                </w:p>
              </w:tc>
            </w:tr>
          </w:tbl>
          <w:p/>
        </w:tc>
      </w:tr>
      <w:tr>
        <w:trPr/>
        <w:tc>
          <w:tcPr>
            <w:tcW w:w="47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46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46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left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  <w:b w:val="1"/>
                      <w:bCs w:val="1"/>
                    </w:rPr>
                    <w:t xml:space="preserve">Гарант-Юрист Интернет 1 ОД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1</w:t>
                  </w:r>
                </w:p>
              </w:tc>
            </w:tr>
          </w:tbl>
          <w:p/>
        </w:tc>
        <w:tc>
          <w:tcPr>
            <w:tcW w:w="15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4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4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мес.</w:t>
                  </w:r>
                </w:p>
              </w:tc>
            </w:tr>
          </w:tbl>
          <w:p/>
        </w:tc>
        <w:tc>
          <w:tcPr>
            <w:tcW w:w="2025" w:type="dxa"/>
            <w:vAlign w:val="center"/>
            <w:tcBorders>
              <w:top w:val="single" w:sz="6" w:color="000000"/>
              <w:left w:val="single" w:sz="6" w:color="000000"/>
              <w:right w:val="single" w:sz="6" w:color="000000"/>
              <w:bottom w:val="single" w:sz="6" w:color="000000"/>
            </w:tcBorders>
          </w:tcPr>
          <w:tbl>
            <w:tblGrid>
              <w:gridCol w:w="1995" w:type="dxa"/>
            </w:tblGrid>
            <w:tblPr>
              <w:jc w:val="center"/>
              <w:tblW w:w="0" w:type="auto"/>
              <w:tblLayout w:type="autofit"/>
              <w:bidiVisual w:val="0"/>
              <w:tblCellMar>
                <w:top w:w="40" w:type="dxa"/>
                <w:left w:w="40" w:type="dxa"/>
                <w:right w:w="40" w:type="dxa"/>
                <w:bottom w:w="40" w:type="dxa"/>
              </w:tblCellMar>
              <w:tblBorders>
                <w:top w:val="single" w:sz="0" w:color="FFFFFF"/>
                <w:left w:val="single" w:sz="0" w:color="FFFFFF"/>
                <w:right w:val="single" w:sz="0" w:color="FFFFFF"/>
                <w:bottom w:val="single" w:sz="0" w:color="FFFFFF"/>
                <w:insideH w:val="single" w:sz="0" w:color="FFFFFF"/>
                <w:insideV w:val="single" w:sz="0" w:color="FFFFFF"/>
              </w:tblBorders>
            </w:tblPr>
            <w:tr>
              <w:trPr/>
              <w:tc>
                <w:tcPr>
                  <w:tcW w:w="1995" w:type="dxa"/>
                  <w:vAlign w:val="center"/>
                  <w:tcBorders>
                    <w:top w:val="single" w:sz="0" w:color="FFFFFF"/>
                    <w:left w:val="single" w:sz="0" w:color="FFFFFF"/>
                    <w:right w:val="single" w:sz="0" w:color="FFFFFF"/>
                    <w:bottom w:val="single" w:sz="0" w:color="FFFFFF"/>
                  </w:tcBorders>
                </w:tcPr>
                <w:p>
                  <w:pPr>
                    <w:jc w:val="center"/>
                    <w:spacing w:before="0" w:after="0" w:line="276" w:lineRule="auto"/>
                  </w:pPr>
                  <w:r>
                    <w:rPr>
                      <w:rFonts w:ascii="Arial" w:hAnsi="Arial" w:eastAsia="Arial" w:cs="Arial"/>
                      <w:lang w:val="ru-RU"/>
                      <w:color w:val="0962ae"/>
                      <w:sz w:val="20"/>
                      <w:szCs w:val="20"/>
                    </w:rPr>
                    <w:t xml:space="preserve">9014</w:t>
                  </w:r>
                </w:p>
              </w:tc>
            </w:tr>
          </w:tbl>
          <w:p/>
        </w:tc>
      </w:tr>
    </w:tbl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end"/>
            </w:pPr>
            <w:r>
              <w:pict>
                <v:shape type="#_x0000_t75" stroked="f" style="width:120pt; height:110.05347593583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end"/>
            </w:pPr>
            <w:r>
              <w:pict>
                <v:shape type="#_x0000_t75" stroked="f" style="width:120pt; height:111.39622641509pt; margin-left:0pt; margin-top:0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p>
      <w:r>
        <w:br w:type="page"/>
      </w:r>
    </w:p>
    <w:p>
      <w:pPr/>
      <w:r>
        <w:rPr>
          <w:rFonts w:ascii="Arial" w:hAnsi="Arial" w:eastAsia="Arial" w:cs="Arial"/>
          <w:lang w:val="ru-RU"/>
          <w:color w:val="0962ae"/>
          <w:sz w:val="32"/>
          <w:szCs w:val="32"/>
          <w:b w:val="1"/>
          <w:bCs w:val="1"/>
        </w:rPr>
        <w:t xml:space="preserve">Информационное наполнение</w:t>
      </w:r>
    </w:p>
    <w:p/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Региональное законодательство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Отраслевое законодательство России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высших судебных органов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арбитражных апелляционных судов округов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Практика судов общей юрисдикции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судебной практики. Правовые позиции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Судебная практика: приложение к консультационным блокам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практики мировых судей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Онлайн-архив определений арбитражных судов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библиотека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Энциклопедия. Формы правовых документов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ПРАЙМ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Архивы ГАРАНТа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Большая домашняя правовая энциклопедия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База знаний службы правового консалтинга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ГАРАНТ Консалтинг: нормативные акты и судебная практика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Пакет Энциклопедий решений для юриста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Проверки организаций и предпринимателей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Госзакупки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Трудовые отношения, кадры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Договоры и иные сделки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Энциклопедия решений. Корпоративное право</w:t>
      </w:r>
    </w:p>
    <w:p>
      <w:pPr>
        <w:spacing w:before="0" w:after="0" w:line="276" w:lineRule="auto"/>
      </w:pPr>
      <w:r>
        <w:rPr>
          <w:rFonts w:ascii="Arial" w:hAnsi="Arial" w:eastAsia="Arial" w:cs="Arial"/>
          <w:lang w:val="ru-RU"/>
          <w:color w:val="0962ae"/>
          <w:sz w:val="20"/>
          <w:szCs w:val="20"/>
        </w:rPr>
        <w:t xml:space="preserve">Горячая
линия</w:t>
      </w:r>
    </w:p>
    <w:p/>
    <w:p/>
    <w:p/>
    <w:tbl>
      <w:tblGrid>
        <w:gridCol w:w="4080" w:type="dxa"/>
        <w:gridCol w:w="4080" w:type="dxa"/>
        <w:gridCol w:w="4080" w:type="dxa"/>
      </w:tblGrid>
      <w:tr>
        <w:trPr>
          <w:trHeight w:val="900" w:hRule="atLeast"/>
        </w:trPr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директор</w: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end"/>
            </w:pPr>
            <w:r>
              <w:pict>
                <v:shape type="#_x0000_t75" stroked="f" style="width:120pt; height:110.05347593583pt; margin-left:0pt; margin-top:0pt; mso-position-horizontal:left; mso-position-vertical:top; mso-position-horizontal-relative:char; mso-position-vertical-relative:line; z-index:-2147483647;">
                  <v:imagedata r:id="rId7" o:title=""/>
                </v:shape>
              </w:pict>
            </w:r>
          </w:p>
          <w:p>
            <w:pPr>
              <w:jc w:val="end"/>
            </w:pPr>
            <w:r>
              <w:pict>
                <v:shape type="#_x0000_t75" stroked="f" style="width:120pt; height:111.39622641509pt; margin-left:0pt; margin-top:0pt; mso-position-horizontal:left; mso-position-vertical:top; mso-position-horizontal-relative:char; mso-position-vertical-relative:line; z-index:-2147483647;">
                  <v:imagedata r:id="rId8" o:title=""/>
                </v:shape>
              </w:pict>
            </w:r>
          </w:p>
        </w:tc>
        <w:tc>
          <w:tcPr>
            <w:tcW w:w="4080" w:type="dxa"/>
            <w:vAlign w:val="center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1" w:line="360" w:lineRule="auto"/>
            </w:pPr>
            <w:r>
              <w:rPr>
                <w:rFonts w:ascii="Arial" w:hAnsi="Arial" w:eastAsia="Arial" w:cs="Arial"/>
                <w:lang w:val="ru-RU"/>
                <w:color w:val="0962ae"/>
                <w:sz w:val="20"/>
                <w:szCs w:val="20"/>
              </w:rPr>
              <w:t xml:space="preserve">Савчук Анатолий Викторович</w:t>
            </w:r>
          </w:p>
        </w:tc>
      </w:tr>
    </w:tbl>
    <w:sectPr>
      <w:headerReference w:type="default" r:id="rId9"/>
      <w:footerReference w:type="default" r:id="rId10"/>
      <w:pgSz w:orient="portrait" w:w="12240" w:h="15840"/>
      <w:pgMar w:top="1440" w:right="720" w:bottom="1440" w:left="72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Генеральный директор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Гость Гарант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e-mail: laravelsamvel@gmail.com</w:t>
          </w:r>
        </w:p>
        <w:p>
          <w:pPr>
            <w:spacing w:before="0" w:after="0" w:line="276" w:lineRule="auto"/>
          </w:pPr>
          <w:r>
            <w:rPr>
              <w:rFonts w:ascii="Arial" w:hAnsi="Arial" w:eastAsia="Arial" w:cs="Arial"/>
              <w:lang w:val="ru-RU"/>
              <w:color w:val="0962ae"/>
              <w:sz w:val="18"/>
              <w:szCs w:val="18"/>
            </w:rPr>
            <w:t xml:space="preserve">телелефон: +78123445556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896" w:type="dxa"/>
    </w:tblGrid>
    <w:tr>
      <w:trPr/>
      <w:tc>
        <w:tcPr>
          <w:tcW w:w="4896" w:type="dxa"/>
        </w:tcPr>
        <w:tbl>
          <w:tblGrid>
            <w:gridCol w:w="4896" w:type="dxa"/>
          </w:tblGrid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Общество с Ограниченной Ответственностью фирма "Апрель", ИНН: 2629006843, , КПП: 262901001, </w:t>
                </w:r>
              </w:p>
            </w:tc>
          </w:tr>
          <w:tr>
            <w:trPr/>
            <w:tc>
              <w:tcPr>
                <w:tcW w:w="4896" w:type="dxa"/>
              </w:tcPr>
              <w:p>
                <w:pPr>
                  <w:spacing w:before="0" w:after="0" w:line="276" w:lineRule="auto"/>
                </w:pPr>
                <w:r>
                  <w:rPr>
                    <w:rFonts w:ascii="Arial" w:hAnsi="Arial" w:eastAsia="Arial" w:cs="Arial"/>
                    <w:lang w:val="ru-RU"/>
                    <w:color w:val="0962ae"/>
                    <w:sz w:val="18"/>
                    <w:szCs w:val="18"/>
                  </w:rPr>
                  <w:t xml:space="preserve">357340, Ставропольский край, Лермонтов г, Матвиенко ул, дом № 12, корпус 2, info@garant26.ru</w:t>
                </w:r>
              </w:p>
            </w:tc>
          </w:tr>
        </w:tbl>
        <w:p/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jpg"/><Relationship Id="rId8" Type="http://schemas.openxmlformats.org/officeDocument/2006/relationships/image" Target="media/section_image2.jpg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2024-01-17T10:08:36+00:00</dcterms:created>
  <dcterms:modified xsi:type="dcterms:W3CDTF">2024-01-17T10:08:36+00:00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