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0800" w:type="dxa"/>
        <w:gridCol w:w="10800" w:type="dxa"/>
      </w:tblGrid>
      <w:tr>
        <w:trPr/>
        <w:tc>
          <w:tcPr>
            <w:tcW w:w="10800" w:type="dxa"/>
          </w:tcPr>
          <w:p>
            <w:pPr>
              <w:jc w:val="left"/>
              <w:spacing w:line="240" w:lineRule="auto"/>
            </w:pPr>
            <w:r>
              <w:rPr>
                <w:rFonts w:ascii="Arial" w:hAnsi="Arial" w:eastAsia="Arial" w:cs="Arial"/>
                <w:lang w:val="ru-RU"/>
                <w:color w:val="120D21"/>
                <w:sz w:val="18"/>
                <w:szCs w:val="18"/>
              </w:rPr>
              <w:t xml:space="preserve">Исх. № КП-165-24</w:t>
            </w:r>
          </w:p>
        </w:tc>
        <w:tc>
          <w:tcPr>
            <w:tcW w:w="10800" w:type="dxa"/>
          </w:tcPr>
          <w:p>
            <w:pPr>
              <w:jc w:val="end"/>
              <w:spacing w:before="0" w:after="0" w:line="240" w:lineRule="auto"/>
            </w:pPr>
            <w:r>
              <w:rPr>
                <w:rFonts w:ascii="Arial" w:hAnsi="Arial" w:eastAsia="Arial" w:cs="Arial"/>
                <w:lang w:val="ru-RU"/>
                <w:color w:val="120D21"/>
                <w:sz w:val="18"/>
                <w:szCs w:val="18"/>
              </w:rPr>
              <w:t xml:space="preserve">Министерство труда и социального развития РСО-А</w:t>
            </w:r>
          </w:p>
          <w:p>
            <w:pPr>
              <w:jc w:val="end"/>
              <w:spacing w:before="0" w:after="0" w:line="240" w:lineRule="auto"/>
            </w:pPr>
            <w:r>
              <w:rPr>
                <w:rFonts w:ascii="Arial" w:hAnsi="Arial" w:eastAsia="Arial" w:cs="Arial"/>
                <w:lang w:val="ru-RU"/>
                <w:color w:val="120D21"/>
                <w:sz w:val="18"/>
                <w:szCs w:val="18"/>
              </w:rPr>
              <w:t xml:space="preserve">ИНН: 1234567890</w:t>
            </w:r>
          </w:p>
          <w:p>
            <w:pPr>
              <w:jc w:val="end"/>
              <w:spacing w:before="0" w:after="0" w:line="240" w:lineRule="auto"/>
            </w:pPr>
            <w:r>
              <w:rPr>
                <w:rFonts w:ascii="Arial" w:hAnsi="Arial" w:eastAsia="Arial" w:cs="Arial"/>
                <w:lang w:val="ru-RU"/>
                <w:color w:val="120D21"/>
                <w:sz w:val="18"/>
                <w:szCs w:val="18"/>
              </w:rPr>
              <w:t xml:space="preserve">Директору</w:t>
            </w:r>
          </w:p>
          <w:p>
            <w:pPr>
              <w:jc w:val="end"/>
              <w:spacing w:before="0" w:after="0" w:line="240" w:lineRule="auto"/>
            </w:pPr>
            <w:r>
              <w:rPr>
                <w:rFonts w:ascii="Arial" w:hAnsi="Arial" w:eastAsia="Arial" w:cs="Arial"/>
                <w:lang w:val="ru-RU"/>
                <w:color w:val="120D21"/>
                <w:sz w:val="18"/>
                <w:szCs w:val="18"/>
              </w:rPr>
              <w:t xml:space="preserve">Ивану Иванову</w:t>
            </w:r>
          </w:p>
        </w:tc>
      </w:tr>
    </w:tbl>
    <w:p/>
    <w:p>
      <w:pPr>
        <w:jc w:val="center"/>
      </w:pPr>
      <w:r>
        <w:rPr>
          <w:rFonts w:ascii="Arial" w:hAnsi="Arial" w:eastAsia="Arial" w:cs="Arial"/>
          <w:lang w:val="ru-RU"/>
          <w:color w:val="120D21"/>
          <w:sz w:val="24"/>
          <w:szCs w:val="24"/>
          <w:b w:val="1"/>
          <w:bCs w:val="1"/>
        </w:rPr>
        <w:t xml:space="preserve">Иван Иванов</w:t>
      </w:r>
    </w:p>
    <w:p>
      <w:pPr/>
      <w:r>
        <w:rPr>
          <w:rFonts w:ascii="Arial" w:hAnsi="Arial" w:eastAsia="Arial" w:cs="Arial"/>
          <w:lang w:val="ru-RU"/>
          <w:color w:val="120D21"/>
          <w:sz w:val="20"/>
          <w:szCs w:val="20"/>
          <w:b w:val="0"/>
          <w:bCs w:val="0"/>
        </w:rPr>
        <w:t xml:space="preserve">В честь 30-летия компании мы предоставляем уникальную возможность воспользоваться передовыми технологиями в работе с правовой информацией по доступной цене. </w:t>
      </w:r>
      <w:br/>
      <w:r>
        <w:rPr>
          <w:rFonts w:ascii="Arial" w:hAnsi="Arial" w:eastAsia="Arial" w:cs="Arial"/>
          <w:lang w:val="ru-RU"/>
          <w:color w:val="120D21"/>
          <w:sz w:val="20"/>
          <w:szCs w:val="20"/>
          <w:b w:val="0"/>
          <w:bCs w:val="0"/>
        </w:rPr>
        <w:t xml:space="preserve">С системой ГАРАНТ Вы сможете: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Решить любую задачу с полной информационной и правовой поддержкой:</w:t>
      </w:r>
      <w:r>
        <w:rPr>
          <w:rFonts w:ascii="Arial" w:hAnsi="Arial" w:eastAsia="Arial" w:cs="Arial"/>
          <w:lang w:val="ru-RU"/>
          <w:color w:val="120D21"/>
          <w:sz w:val="20"/>
          <w:szCs w:val="20"/>
          <w:b w:val="0"/>
          <w:bCs w:val="0"/>
        </w:rPr>
        <w:t xml:space="preserve"> нормативные акты федерального и регионального уровня; профессиональная аналитика; практические рекомендации; более 120 000 готовых экспертных заключений; библиотеки, судебная практика, профессиональные СМИ.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Получать индивидуальные заключения по Вашим вопросам от экспертов федерального уровня! </w:t>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Пользоваться качественным сервисным обслуживанием:</w:t>
      </w:r>
      <w:r>
        <w:rPr>
          <w:rFonts w:ascii="Arial" w:hAnsi="Arial" w:eastAsia="Arial" w:cs="Arial"/>
          <w:lang w:val="ru-RU"/>
          <w:color w:val="120D21"/>
          <w:sz w:val="20"/>
          <w:szCs w:val="20"/>
          <w:b w:val="0"/>
          <w:bCs w:val="0"/>
        </w:rPr>
        <w:t xml:space="preserve">  возможность обращаться на Горячую линию правовой поддержки, обучение работе с системой, техническая поддержка.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только с актуальной правовой информацией:</w:t>
      </w:r>
      <w:r>
        <w:rPr>
          <w:rFonts w:ascii="Arial" w:hAnsi="Arial" w:eastAsia="Arial" w:cs="Arial"/>
          <w:lang w:val="ru-RU"/>
          <w:color w:val="120D21"/>
          <w:sz w:val="20"/>
          <w:szCs w:val="20"/>
          <w:b w:val="0"/>
          <w:bCs w:val="0"/>
        </w:rPr>
        <w:t xml:space="preserve">  комплект обновляется 3 раза в день!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Всегда иметь под рукой наиболее полную базу: </w:t>
      </w:r>
      <w:r>
        <w:rPr>
          <w:rFonts w:ascii="Arial" w:hAnsi="Arial" w:eastAsia="Arial" w:cs="Arial"/>
          <w:lang w:val="ru-RU"/>
          <w:color w:val="120D21"/>
          <w:sz w:val="20"/>
          <w:szCs w:val="20"/>
          <w:b w:val="0"/>
          <w:bCs w:val="0"/>
        </w:rPr>
        <w:t xml:space="preserve"> Вам доступны более 150 000 000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  </w:t>
      </w:r>
      <w:br/>
      <w:r>
        <w:rPr>
          <w:rFonts w:ascii="Arial" w:hAnsi="Arial" w:eastAsia="Arial" w:cs="Arial"/>
          <w:lang w:val="ru-RU"/>
          <w:color w:val="005fa8"/>
          <w:sz w:val="20"/>
          <w:szCs w:val="20"/>
          <w:b w:val="1"/>
          <w:bCs w:val="1"/>
        </w:rPr>
        <w:t xml:space="preserve"/>
      </w:r>
      <w:r>
        <w:rPr>
          <w:rFonts w:ascii="Arial" w:hAnsi="Arial" w:eastAsia="Arial" w:cs="Arial"/>
          <w:lang w:val="ru-RU"/>
          <w:color w:val="120D21"/>
          <w:sz w:val="20"/>
          <w:szCs w:val="20"/>
          <w:b w:val="0"/>
          <w:bCs w:val="0"/>
        </w:rPr>
        <w:t xml:space="preserve">Все самое важное и необходимое для работы будет всегда под рукой! Благодаря 9 настраиваемым профессиональным страницам, каждый специалист Вашей организации сможет быстро ориентироваться в правовом поле, легко работать с большим объемом информации.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с системой при первой необходимости:</w:t>
      </w:r>
      <w:r>
        <w:rPr>
          <w:rFonts w:ascii="Arial" w:hAnsi="Arial" w:eastAsia="Arial" w:cs="Arial"/>
          <w:lang w:val="ru-RU"/>
          <w:color w:val="120D21"/>
          <w:sz w:val="20"/>
          <w:szCs w:val="20"/>
          <w:b w:val="0"/>
          <w:bCs w:val="0"/>
        </w:rPr>
        <w:t xml:space="preserve"> в любое время и в любом месте – на работе, в командировке, на заседании суда, дома.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Получить полную информацию о контрагенте, а также защитить свои активы</w:t>
      </w:r>
      <w:r>
        <w:rPr>
          <w:rFonts w:ascii="Arial" w:hAnsi="Arial" w:eastAsia="Arial" w:cs="Arial"/>
          <w:lang w:val="ru-RU"/>
          <w:color w:val="120D21"/>
          <w:sz w:val="20"/>
          <w:szCs w:val="20"/>
          <w:b w:val="0"/>
          <w:bCs w:val="0"/>
        </w:rPr>
        <w:t xml:space="preserve"> с помощью сервисов «Экспресс Проверка» и «Бизнес на контроле». </w:t>
      </w:r>
      <w:br/>
      <w:r>
        <w:rPr>
          <w:rFonts w:ascii="Arial" w:hAnsi="Arial" w:eastAsia="Arial" w:cs="Arial"/>
          <w:lang w:val="ru-RU"/>
          <w:color w:val="120D21"/>
          <w:sz w:val="20"/>
          <w:szCs w:val="20"/>
          <w:b w:val="0"/>
          <w:bCs w:val="0"/>
        </w:rPr>
        <w:t xml:space="preserve">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Быстро и правильно</w:t>
      </w:r>
      <w:r>
        <w:rPr>
          <w:rFonts w:ascii="Arial" w:hAnsi="Arial" w:eastAsia="Arial" w:cs="Arial"/>
          <w:lang w:val="ru-RU"/>
          <w:color w:val="120D21"/>
          <w:sz w:val="20"/>
          <w:szCs w:val="20"/>
          <w:b w:val="0"/>
          <w:bCs w:val="0"/>
        </w:rPr>
        <w:t xml:space="preserve"> создать учетную политику организации, подготовить договор или доверенность, написать претензию или исковое заявление с конструктором учетной политики и правовых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Организовать профессиональное обучение!</w:t>
      </w:r>
      <w:r>
        <w:rPr>
          <w:rFonts w:ascii="Arial" w:hAnsi="Arial" w:eastAsia="Arial" w:cs="Arial"/>
          <w:lang w:val="ru-RU"/>
          <w:color w:val="120D21"/>
          <w:sz w:val="20"/>
          <w:szCs w:val="20"/>
          <w:b w:val="0"/>
          <w:bCs w:val="0"/>
        </w:rPr>
        <w:t xml:space="preserve"> Повышайте свою квалификацию и узнавайте мнение экспертов по актуальным правовым вопросам и изменениям в законодательстве.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Оптимизировать свои расходы на информационно-правовое обеспечение</w:t>
      </w:r>
      <w:r>
        <w:rPr>
          <w:rFonts w:ascii="Arial" w:hAnsi="Arial" w:eastAsia="Arial" w:cs="Arial"/>
          <w:lang w:val="ru-RU"/>
          <w:color w:val="120D21"/>
          <w:sz w:val="20"/>
          <w:szCs w:val="20"/>
          <w:b w:val="0"/>
          <w:bCs w:val="0"/>
        </w:rPr>
        <w:t xml:space="preserve"> благодаря нашей гибкой ценовой политике и специальным условиям!</w:t>
      </w:r>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28"/>
          <w:szCs w:val="28"/>
          <w:b w:val="1"/>
          <w:bCs w:val="1"/>
        </w:rPr>
        <w:t xml:space="preserve">Информационное наполнение</w:t>
      </w:r>
    </w:p>
    <w:p>
      <w:r>
        <w:br w:type="page"/>
      </w:r>
    </w:p>
    <w:p>
      <w:pPr/>
      <w:r>
        <w:rPr>
          <w:rFonts w:ascii="Arial" w:hAnsi="Arial" w:eastAsia="Arial" w:cs="Arial"/>
          <w:lang w:val="ru-RU"/>
          <w:color w:val="120D21"/>
          <w:sz w:val="28"/>
          <w:szCs w:val="28"/>
          <w:b w:val="1"/>
          <w:bCs w:val="1"/>
        </w:rPr>
        <w:t xml:space="preserve">Нормативно-правовые акты</w:t>
      </w:r>
    </w:p>
    <w:p/>
    <w:p>
      <w:pPr/>
      <w:r>
        <w:rPr>
          <w:rFonts w:ascii="Arial" w:hAnsi="Arial" w:eastAsia="Arial" w:cs="Arial"/>
          <w:lang w:val="ru-RU"/>
          <w:color w:val="120D21"/>
          <w:sz w:val="20"/>
          <w:szCs w:val="20"/>
          <w:b w:val="1"/>
          <w:bCs w:val="1"/>
        </w:rPr>
        <w:t xml:space="preserve">Законодательство России</w:t>
      </w:r>
    </w:p>
    <w:p>
      <w:pPr/>
      <w:r>
        <w:rPr>
          <w:rFonts w:ascii="Arial" w:hAnsi="Arial" w:eastAsia="Arial" w:cs="Arial"/>
          <w:lang w:val="ru-RU"/>
          <w:color w:val="120D21"/>
          <w:sz w:val="18"/>
          <w:szCs w:val="18"/>
        </w:rPr>
        <w:t xml:space="preserve">Информационный банк содержит документы федерального уровня регулирования по основным отраслям права: гражданские отношения, налогообложение, бухучет, предпринимательство, собственность, валютное регулирование, трудовые отношения, социальная защита и другие. Включает все кодексы и федеральные законы. Кроме нормативных документов, в блок включены судебная и арбитражная практика, формы правовых документов, производственный календарь и другие бизнес-справки. В блок включены обновляемые интерактивные путеводители по общему плану счетов, кадровому делу и охране труда.</w:t>
      </w:r>
    </w:p>
    <w:p/>
    <w:p>
      <w:pPr/>
      <w:r>
        <w:rPr>
          <w:rFonts w:ascii="Arial" w:hAnsi="Arial" w:eastAsia="Arial" w:cs="Arial"/>
          <w:lang w:val="ru-RU"/>
          <w:color w:val="120D21"/>
          <w:sz w:val="20"/>
          <w:szCs w:val="20"/>
          <w:b w:val="1"/>
          <w:bCs w:val="1"/>
        </w:rPr>
        <w:t xml:space="preserve">Региональное законодательство</w:t>
      </w:r>
    </w:p>
    <w:p>
      <w:pPr/>
      <w:r>
        <w:rPr>
          <w:rFonts w:ascii="Arial" w:hAnsi="Arial" w:eastAsia="Arial" w:cs="Arial"/>
          <w:lang w:val="ru-RU"/>
          <w:color w:val="120D21"/>
          <w:sz w:val="18"/>
          <w:szCs w:val="18"/>
        </w:rPr>
        <w:t xml:space="preserve">Основные правовые акты вашего региона - необходимая информация для каждого специалиста, работающего с правовой информацией. Кодексы, законы, указы, постановления, приказы, разъяснительные письма и другие документы именно вашего региона.</w:t>
      </w:r>
    </w:p>
    <w:p/>
    <w:p>
      <w:pPr/>
      <w:r>
        <w:rPr>
          <w:rFonts w:ascii="Arial" w:hAnsi="Arial" w:eastAsia="Arial" w:cs="Arial"/>
          <w:lang w:val="ru-RU"/>
          <w:color w:val="120D21"/>
          <w:sz w:val="20"/>
          <w:szCs w:val="20"/>
          <w:b w:val="1"/>
          <w:bCs w:val="1"/>
        </w:rPr>
        <w:t xml:space="preserve">Отраслевое законодательство России</w:t>
      </w:r>
    </w:p>
    <w:p>
      <w:pPr/>
      <w:r>
        <w:rPr>
          <w:rFonts w:ascii="Arial" w:hAnsi="Arial" w:eastAsia="Arial" w:cs="Arial"/>
          <w:lang w:val="ru-RU"/>
          <w:color w:val="120D21"/>
          <w:sz w:val="18"/>
          <w:szCs w:val="18"/>
        </w:rPr>
        <w:t xml:space="preserve">Информационный блок, 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
Таможенное законодательство
Необходимая информация для тех, чья сфера деятельности связана с таможенными правоотношениями, ВЭД, валютным контролем. Документы, регламентирующие вопросы внешнеэкономической деятельности, в том числе документы ФТС России, полный текст ТН ВЭД СНГ; судебная и арбитражная практика; международные договоры, действующие в рамках ЕврАзЭс, Таможенный кодекс Таможенного союза; классификационные решения ФТС России; формы таможенных деклараций. Бизнес-справки, в том числе реестр банков, гарантии которых принимаются таможенными органами.
Банковское законодательство
Для профессионалов, связанных с банковской деятельностью. Документы ЦБ РФ, международные, ведомственные документы, судебная и арбитражная практика, формы отчетности, справочник БИК РФ, курсы валют, процентные ставки по операциям Банка России, в том числе ставка рефинансирования, а также другие бизнес-справки.
Жилищное право
Информация подобрана специально для тех, чья сфера интересов связана с риелторской деятельностью, страхованием недвижимости, приватизацией жилья, ЖКХ. Нормативные документы по жилищному законодательству, представлению коммунальных услуг, приватизации, аренде, ипотечному кредитованию и другим вопросам. Также здесь содержатся судебная и арбитражная практика, формы документов для оформления всех видов сделок с недвижимостью.
Законодательство по землепользованию, недропользованию, природоохране
Для специалистов, интересующихся земельными правоотношениями, разработкой и использованием недр, водных и лесных ресурсов, атмосферного воздуха, охраной окружающей среды и обеспечением экологической безопасности, ведением и развитием сельского хозяйства, садоводства, огородничества, дачного хозяйства, контролем и надзором в сфере ветеринарии. Нормативные акты отраслевых министерств и ведомств, судебная и арбитражная практика по спорам об использовании земли, водных объектов, природной среды и природных ресурсов, формы необходимых документов, международные договоры в сфере защиты окружающей среды, экологического сотрудничества и другие.
Уголовное и административное право
Необходимая информация для специалистов, так или иначе связанных с правоохранительной и правозащитной деятельностью. Нормативные акты и судебная практика по уголовному, уголовно-процессуальному, административному, уголовно-исполнительному законодательству и законодательству о правоохранительных органах и оперативно-розыскной деятельности, а также формы процессуальных документов.
Медицинское законодательство
Специалистам, решающим правовые задачи в сфере здравоохранения. Документы по финансированию и организации здравоохранения, медицинскому страхованию, лицензированию, контролю экспертизы и качества лекарственных средств, стандартам оказания медицинской помощи, правовому регулированию предоставления платных медицинских услуг. Формы отчетной и учетной медицинской документации, особенности налогообложения, льготного обеспечения в медицинских организациях и кадровая работа.
Законодательство о строительстве
Необходимая информация для специалистов, работающих в области строительства. Федеральное и региональное законодательство в области строительства, рекомендации специалистов министерств и ведомств, судебная и арбитражная практика, международные соглашения, формы документов и необходимая справочная информация.</w:t>
      </w:r>
    </w:p>
    <w:p/>
    <w:p>
      <w:pPr/>
      <w:r>
        <w:rPr>
          <w:rFonts w:ascii="Arial" w:hAnsi="Arial" w:eastAsia="Arial" w:cs="Arial"/>
          <w:lang w:val="ru-RU"/>
          <w:color w:val="120D21"/>
          <w:sz w:val="28"/>
          <w:szCs w:val="28"/>
          <w:b w:val="1"/>
          <w:bCs w:val="1"/>
        </w:rPr>
        <w:t xml:space="preserve">Судебная практика</w:t>
      </w:r>
    </w:p>
    <w:p/>
    <w:p>
      <w:pPr/>
      <w:r>
        <w:rPr>
          <w:rFonts w:ascii="Arial" w:hAnsi="Arial" w:eastAsia="Arial" w:cs="Arial"/>
          <w:lang w:val="ru-RU"/>
          <w:color w:val="120D21"/>
          <w:sz w:val="20"/>
          <w:szCs w:val="20"/>
          <w:b w:val="1"/>
          <w:bCs w:val="1"/>
        </w:rPr>
        <w:t xml:space="preserve">Практика высших судебных органов</w:t>
      </w:r>
    </w:p>
    <w:p>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 Наиболее полная подборка решений КС РФ, ВАС РФ, ВС РФ . Адреса и телефоны судов РФ и высших судебных органов стран ближнего зарубежья.</w:t>
      </w:r>
    </w:p>
    <w:p/>
    <w:p>
      <w:pPr/>
      <w:r>
        <w:rPr>
          <w:rFonts w:ascii="Arial" w:hAnsi="Arial" w:eastAsia="Arial" w:cs="Arial"/>
          <w:lang w:val="ru-RU"/>
          <w:color w:val="120D21"/>
          <w:sz w:val="20"/>
          <w:szCs w:val="20"/>
          <w:b w:val="1"/>
          <w:bCs w:val="1"/>
        </w:rPr>
        <w:t xml:space="preserve">Практика арбитражных судов округов</w:t>
      </w:r>
    </w:p>
    <w:p>
      <w:pPr/>
      <w:r>
        <w:rPr>
          <w:rFonts w:ascii="Arial" w:hAnsi="Arial" w:eastAsia="Arial" w:cs="Arial"/>
          <w:lang w:val="ru-RU"/>
          <w:color w:val="120D21"/>
          <w:sz w:val="18"/>
          <w:szCs w:val="18"/>
        </w:rPr>
        <w:t xml:space="preserve">Блок включает в себя практику всех 10 арбитражных судов округов - постановления, определения и обзоры практики суда по применению нормативных актов.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r>
        <w:rPr>
          <w:rFonts w:ascii="Arial" w:hAnsi="Arial" w:eastAsia="Arial" w:cs="Arial"/>
          <w:lang w:val="ru-RU"/>
          <w:color w:val="120D21"/>
          <w:sz w:val="18"/>
          <w:szCs w:val="18"/>
        </w:rPr>
        <w:t xml:space="preserve">Блок включает в себя практику всех 10 судебных округов в которых функционирует 21 арбитражный апелляционный суд.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судов общей юрисдикции</w:t>
      </w:r>
    </w:p>
    <w:p>
      <w:pPr/>
      <w:r>
        <w:rPr>
          <w:rFonts w:ascii="Arial" w:hAnsi="Arial" w:eastAsia="Arial" w:cs="Arial"/>
          <w:lang w:val="ru-RU"/>
          <w:color w:val="120D21"/>
          <w:sz w:val="18"/>
          <w:szCs w:val="18"/>
        </w:rPr>
        <w:t xml:space="preserve">Блок объединяет в себя практику судов общей юрисдикции из 85 регионов РФ. В рамках одного блока пользователь получает всю практику таких судебных органов как:
верховные суды республик,
краевые и областные суды,
суды городов федерального значения,
суды автономной области и автономных округов,
отдельные районные суды и мировые судьи.</w:t>
      </w:r>
    </w:p>
    <w:p/>
    <w:p>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r>
        <w:rPr>
          <w:rFonts w:ascii="Arial" w:hAnsi="Arial" w:eastAsia="Arial" w:cs="Arial"/>
          <w:lang w:val="ru-RU"/>
          <w:color w:val="120D21"/>
          <w:sz w:val="18"/>
          <w:szCs w:val="18"/>
        </w:rPr>
        <w:t xml:space="preserve">В блоке каждый документ посвящен конкретной норме права, и предлагает пользователям возможность быстро знакомиться с мнениями судов по рассматриваемому вопросу. Все материалы снабжены краткими выводами, которые были сформулированы опытными экспертами компании "Гарант", а также содержат правовые позиции судов по аналогичной ситуации. Блок позволяет быстро "ухватить" суть изучаемого вопроса и оперативно обращаться к заинтересовавшему судебному акту.
Энциклопедия включает в себя структурированные постатейные аннотации решений судов по наиболее востребованным пользователями темам и нормативным актам, среди которых:
- Гражданский кодекс РФ;
- Налоговый кодекс РФ;
- Трудовой кодекс РФ;
- Земельный кодекс;
- Закон "Об акционерных обществах";
- Закон "Об обществах с ограниченной ответственностью";
- Закон "О защите прав потребителей";
- Закон о страховых взносах во внебюджетные фонды;
- Закон об обязательном страховании от несчастных случаев и другие.</w:t>
      </w:r>
    </w:p>
    <w:p/>
    <w:p>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
      <w:pPr/>
      <w:r>
        <w:rPr>
          <w:rFonts w:ascii="Arial" w:hAnsi="Arial" w:eastAsia="Arial" w:cs="Arial"/>
          <w:lang w:val="ru-RU"/>
          <w:color w:val="120D21"/>
          <w:sz w:val="20"/>
          <w:szCs w:val="20"/>
          <w:b w:val="1"/>
          <w:bCs w:val="1"/>
        </w:rPr>
        <w:t xml:space="preserve">Онлайн-архив практики мировых судей</w:t>
      </w:r>
    </w:p>
    <w:p>
      <w:pPr/>
      <w:r>
        <w:rPr>
          <w:rFonts w:ascii="Arial" w:hAnsi="Arial" w:eastAsia="Arial" w:cs="Arial"/>
          <w:lang w:val="ru-RU"/>
          <w:color w:val="120D21"/>
          <w:sz w:val="18"/>
          <w:szCs w:val="18"/>
        </w:rPr>
        <w:t xml:space="preserve">Блок включает практику мировых судей. Мировой судья рассматривает в первой инстанции дела: • подсудные ему уголовные дела о преступлениях, за совершение которых максимальное наказание не превышает трех лет лишения свободы; • о выдаче судебного приказа; • о расторжении брака, если между супругами отсутствует спор о детях; • о разделе между супругами совместно нажитого имущества при цене иска, не превышающей 50 000 руб.; • иные возникающие из семейно-правовых отношений дела, за исключением дел об оспаривании отцовства (материнства), об установлении отцовства, о лишении или ограничении родительских прав, об усыновлении (удочерении) ребенка, других дел по спорам о детях и дел о признании брака недействительным; • по имущественным спорам, за исключением дел о наследовании имущества и дел, возникающих из отношений по созданию и использованию результатов интеллектуальной деятельности, при цене иска, не превышающей 50 000 руб.; • об определении порядка пользования имуществом; • об административных правонарушениях, отнесенные к компетенции мирового судьи; • иные дела, отнесенные к их подсудности федеральными законами. • Мировой судья рассматривает также дела по вновь открывшимся обстоятельствам в отношении решений, принятых им в первой инстанции и вступивших в законную силу.</w:t>
      </w:r>
    </w:p>
    <w:p/>
    <w:p>
      <w:pPr/>
      <w:r>
        <w:rPr>
          <w:rFonts w:ascii="Arial" w:hAnsi="Arial" w:eastAsia="Arial" w:cs="Arial"/>
          <w:lang w:val="ru-RU"/>
          <w:color w:val="120D21"/>
          <w:sz w:val="20"/>
          <w:szCs w:val="20"/>
          <w:b w:val="1"/>
          <w:bCs w:val="1"/>
        </w:rPr>
        <w:t xml:space="preserve">Онлайн-архив определений арбитражных судов</w:t>
      </w:r>
    </w:p>
    <w:p>
      <w:pPr/>
      <w:r>
        <w:rPr>
          <w:rFonts w:ascii="Arial" w:hAnsi="Arial" w:eastAsia="Arial" w:cs="Arial"/>
          <w:lang w:val="ru-RU"/>
          <w:color w:val="120D21"/>
          <w:sz w:val="18"/>
          <w:szCs w:val="18"/>
        </w:rPr>
        <w:t xml:space="preserve">Архив содержит определения, выносимые арбитражными судами первой, апелляционной и кассационной инстанций по вопросам, требующим решения в ходе судебного разбирательства и в других случаях, предусмотренных Арбитражным процессуальным кодексом РФ.
Предоставляется в качестве дополнительного приложения к блокам "Практика высших судебных органов", "Практика арбитражных судов округов", "Практика арбитражных апелляционных судов округов".</w:t>
      </w:r>
    </w:p>
    <w:p/>
    <w:p>
      <w:pPr/>
      <w:r>
        <w:rPr>
          <w:rFonts w:ascii="Arial" w:hAnsi="Arial" w:eastAsia="Arial" w:cs="Arial"/>
          <w:lang w:val="ru-RU"/>
          <w:color w:val="120D21"/>
          <w:sz w:val="28"/>
          <w:szCs w:val="28"/>
          <w:b w:val="1"/>
          <w:bCs w:val="1"/>
        </w:rPr>
        <w:t xml:space="preserve">Консультационные материалы</w:t>
      </w:r>
    </w:p>
    <w:p/>
    <w:p>
      <w:pPr/>
      <w:r>
        <w:rPr>
          <w:rFonts w:ascii="Arial" w:hAnsi="Arial" w:eastAsia="Arial" w:cs="Arial"/>
          <w:lang w:val="ru-RU"/>
          <w:color w:val="120D21"/>
          <w:sz w:val="20"/>
          <w:szCs w:val="20"/>
          <w:b w:val="1"/>
          <w:bCs w:val="1"/>
        </w:rPr>
        <w:t xml:space="preserve">Большая библиотека юриста</w:t>
      </w:r>
    </w:p>
    <w:p>
      <w:pPr/>
      <w:r>
        <w:rPr>
          <w:rFonts w:ascii="Arial" w:hAnsi="Arial" w:eastAsia="Arial" w:cs="Arial"/>
          <w:lang w:val="ru-RU"/>
          <w:color w:val="120D21"/>
          <w:sz w:val="18"/>
          <w:szCs w:val="18"/>
        </w:rPr>
        <w:t xml:space="preserve">Информационный блок содержит тысячи консультаций для юристов: публикации из профильных СМИ, ответы на вопросы, книги. Широкий спектр авторитетных мнений по актуальным правовым темам, аналитических материалов по спорным вопросам действующего законодательства. В блок включены также труды классиков российской правовой науки XIX-XX веков.
Комментарии к основополагающим документам по всем разделам российского законодательства (Конституция, ГК, УК, ТК РФ и др.), труды ведущих юристов, часто авторов законов, по вопросам толкования и применения различных норм права, отдельные статьи различных специалистов по актуальным проблемам права.
В информационный блок "Большая библиотека юриста" регулярно подключаются статьи из периодических изданий по праву, например:
Журнал "Административное право"
Журнал "Актуальные проблемы российского права"
Журнал "Библиотечка "Российской газеты"
Журнал "Вестник Пермского университета. Юридические науки"
Журнал "Вестник Омской юридической академии"
Журнал "Вестник экономического правосудия"
Журнал "Жилищное право"
Журнал "Журнал зарубежного законодательства и сравнительного правоведения"
Журнал "Журнал предпринимательского и корпоративного права"
Журнал "Журнал российского права"
Журнал "Журнал Суда по интеллектуальным правам"
Журнал "Закон"
Журнал "Законность"
Журнал "Законодательство"
Журнал "Законы России: опыт, анализ, практика"
Журнал "Имущественные отношения в Российской Федерации"
Журнал "Интеллектуальная собственность. Авторское право и смежные права"
Журнал "Интеллектуальная собственность. Промышленная собственность"
Газета "Новая адвокатская газета"
Журнал "Образование и право"
Журнал "Право. Журнал Высшей школы экономики
Журнал "Право и экономика"
Журнал "Российский юридический журнал"
Журнал "Российское право: образование, практика, наука"
Журнал "Судья"
Журнал "Трудовое право"
Журнал "Труды Академии управления МВД России"
Газета "ЭЖ-Юрист"
Журнал "Экономика и право. XXI век"
Журнал "Lex russica"
Журнал "KUTAFIN LAW REVIEW"
Книги, статьи из юридических СМИ и труды классиков правовой науки XIX - XX веков из серии "Классика российского правового наследия".</w:t>
      </w:r>
    </w:p>
    <w:p/>
    <w:p>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r>
        <w:rPr>
          <w:rFonts w:ascii="Arial" w:hAnsi="Arial" w:eastAsia="Arial" w:cs="Arial"/>
          <w:lang w:val="ru-RU"/>
          <w:color w:val="120D21"/>
          <w:sz w:val="18"/>
          <w:szCs w:val="18"/>
        </w:rPr>
        <w:t xml:space="preserve">Библиотека книг и периодики для бухгалтера и кадровика. 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В информационном блоке "Большая библиотека бухгалтера и кадрового работника" представлены статьи, комментарии, разъяснения, методические материалы, ответы специалистов профильных министерств, опубликованные в более чем восьмидесяти периодических изданиях для бухгалтеров и кадровиков. В блоке содержатся более 22 тысяч примеров бухгалтерских проводок.
В блок включены интерактивные путеводители по общему плану счетов, бюджетному учёту в казённых учреждениях и органах власти, бухгалтерскому учёту в бюджетных учреждениях, в автономных учреждениях, кадровому делу.
Журнал "Автономные учреждения: акты и комментарии"
Журнал "Автономные учреждения: бухучет и налогообложение"
Журнал "Актуальная бухгалтерия"
Журнал "Актуальные вопросы учета и налогообложения"
Журнал "Акты и комментарии для бухгалтера"
Журнал "Аптека: бухгалтерский учет и налогообложение"
Журнал "АУДИТОР" Журнал "Банковское обозрение"
Журнал "БДМ. Банки и деловой мир"
Журнал "БУХ.1С"
Журнал "Бухгалтерский учет в бюджетных и некоммерческих организациях"
Журнал "Бухгалтер и закон"
Журнал "Бухгалтерский учет"
Журнал "Бухгалтерский учет в издательстве и полиграфии"
Журнал "Бухгалтерия и банки"
Журнал "Бухгалтер Крыма"
Журнал "Бюджет"
Журнал "Бюджетные организации: акты и комментарии для бухгалтера"
Журнал "Бюджетные организации: бухгалтерский учет и налогообложение"
Журнал "Учреждения здравоохранения: бухгалтерский учет и налогообложение"
Журнал "Учреждения образования: бухгалтерский учет и налогообложение"
Журнал "Ревизии и проверки финансово-хозяйственной деятельности государственных (муниципальных) учреждений"
Журнал "Вестник профессиональных бухгалтеров"
Журнал "Все для бухгалтера"
Журнал "Делопроизводство"
Журнал "Жилищно-коммунальное хозяйство: бухгалтерский учет и налогообложение"
Журнал "Кадровая служба и управление персоналом предприятия"
Журнал "Казенные учреждения: акты и комментарии"
Журнал "Казенные учреждения: бухгалтерский учет и налогообложение"
Журнал "Малая бухгалтерия"
Журнал "Международный бухгалтерский учет"
Журнал "Микрофинанс+"
Журнал "Международные банковские операции"
Журнал "МСФО и МСА в кредитной организации"
Журнал "Налог на прибыль: учет доходов и расходов"
Журнал "Налоги и финансовое право"
Журнал "Налоговая политика и практика"
Журнал "Налоговый вестник"
Журнал "Налоговый учет для бухгалтера"
Журнал "НДС: проблемы и решения"
Журнал "Новая бухгалтерия"
Журнал "Нормативные акты для бухгалтера"
Журнал "Охрана и экономика труда"
Журнал "Оплата труда: акты и комментарии для бухгалтера"
Журнал "Оплата труда: бухгалтерский учет и налогообложение"
Журнал "Оплата труда в государственном (муниципальном) учреждении: акты и комментарии для бухгалтера"
Журнал "Оплата труда в государственном (муниципальном) учреждении: бухгалтерий учет и налогообложение"
Журнал "Отдел кадров государственного (муниципального) учреждения"
Журнал "Практическая бухгалтерия"
Журнал "Практический бухгалтерский учет"
Журнал "Практический бухгалтерский учет. Официальные материалы и комментарии (720 часов)"
Журнал "Предприятия общественного питания"
Журнал "Промышленность: бухгалтерский учет и налогообложение"
Журнал "Разъяснения органов исполнительной власти по ведению финансово-хозяйственной деятельности в бюджетной сфере"
Журнал "Руководитель автономного учреждения"
Журнал "Руководитель бюджетной организации"
Журнал "Российский бухгалтер"
Журнал "Силовые министерства и ведомства: бухгалтерский учет и налогообложение"
Журнал "Строительство: акты и комментарии для бухгалтера"
Журнал "Строительство: бухгалтерский учет и налогообложение"
Журнал "Торговля: бухгалтерский учет и налогообложение"
Журнал "Трудовое право"
Журнал "Транспортные услуги: бухгалтерский учет и налогообложение"
Журнал "Туристические и гостиничные услуги: бухгалтерский учет и налогообложение"
Журнал "Управление персоналом"
Журнал "Упрощенная система налогообложения: бухгалтерский учет и налогообложение"
Журнал "Услуги связи: бухгалтерский учет и налогообложение"
Журнал "Учет и контроль"
Журнал "Учреждения культуры и искусства: бухгалтерский учет и налогообложение"
Журнал "Учреждения физической культуры и спорта: бухгалтерский учет и налогообложение"
Газета "Финансовая газета"
Журнал "Финансы"
Журнал "Финансовый вестник: финансы, налоги, страхование, бухгалтерский учет"
Журнал "Экономико-правовой бюллетень"
Журнал "ЭЖ Вопрос-Ответ"</w:t>
      </w:r>
    </w:p>
    <w:p/>
    <w:p>
      <w:pPr/>
      <w:r>
        <w:rPr>
          <w:rFonts w:ascii="Arial" w:hAnsi="Arial" w:eastAsia="Arial" w:cs="Arial"/>
          <w:lang w:val="ru-RU"/>
          <w:color w:val="120D21"/>
          <w:sz w:val="28"/>
          <w:szCs w:val="28"/>
          <w:b w:val="1"/>
          <w:bCs w:val="1"/>
        </w:rPr>
        <w:t xml:space="preserve">Специализированные блоки</w:t>
      </w:r>
    </w:p>
    <w:p/>
    <w:p>
      <w:pPr/>
      <w:r>
        <w:rPr>
          <w:rFonts w:ascii="Arial" w:hAnsi="Arial" w:eastAsia="Arial" w:cs="Arial"/>
          <w:lang w:val="ru-RU"/>
          <w:color w:val="120D21"/>
          <w:sz w:val="20"/>
          <w:szCs w:val="20"/>
          <w:b w:val="1"/>
          <w:bCs w:val="1"/>
        </w:rPr>
        <w:t xml:space="preserve">Энциклопедия. Формы правовых документов</w:t>
      </w:r>
    </w:p>
    <w:p>
      <w:pPr/>
      <w:r>
        <w:rPr>
          <w:rFonts w:ascii="Arial" w:hAnsi="Arial" w:eastAsia="Arial" w:cs="Arial"/>
          <w:lang w:val="ru-RU"/>
          <w:color w:val="120D21"/>
          <w:sz w:val="18"/>
          <w:szCs w:val="18"/>
        </w:rPr>
        <w:t xml:space="preserve">Уникальный блок содержит разработанные юристами-практиками формы различных документов, используемых в сфере гражданско-правовых отношений, процессуальных вопросах при обращениях в суд, регулирующих трудовую деятельность работника и работодателя, образцы локальных актов организаций, типовые отчетные формы и бланки документов, представляемые в государственные органы. В актуализируемую энциклопедию регулярно включаются новые формы.</w:t>
      </w:r>
    </w:p>
    <w:p/>
    <w:p>
      <w:pPr/>
      <w:r>
        <w:rPr>
          <w:rFonts w:ascii="Arial" w:hAnsi="Arial" w:eastAsia="Arial" w:cs="Arial"/>
          <w:lang w:val="ru-RU"/>
          <w:color w:val="120D21"/>
          <w:sz w:val="28"/>
          <w:szCs w:val="28"/>
          <w:b w:val="1"/>
          <w:bCs w:val="1"/>
        </w:rPr>
        <w:t xml:space="preserve">Без дополнительной оплаты</w:t>
      </w:r>
    </w:p>
    <w:p/>
    <w:p>
      <w:pPr/>
      <w:r>
        <w:rPr>
          <w:rFonts w:ascii="Arial" w:hAnsi="Arial" w:eastAsia="Arial" w:cs="Arial"/>
          <w:lang w:val="ru-RU"/>
          <w:color w:val="120D21"/>
          <w:sz w:val="20"/>
          <w:szCs w:val="20"/>
          <w:b w:val="1"/>
          <w:bCs w:val="1"/>
        </w:rPr>
        <w:t xml:space="preserve">ПРАЙМ</w:t>
      </w:r>
    </w:p>
    <w:p>
      <w:pPr/>
      <w:r>
        <w:rPr>
          <w:rFonts w:ascii="Arial" w:hAnsi="Arial" w:eastAsia="Arial" w:cs="Arial"/>
          <w:lang w:val="ru-RU"/>
          <w:color w:val="120D21"/>
          <w:sz w:val="18"/>
          <w:szCs w:val="18"/>
        </w:rPr>
        <w:t xml:space="preserve">ПРАЙМ- это услуга, позволяющая клиенту быть в курсе новостей в законодательстве в интересующей его профессиональной области (эти области клиент указывает в специальной  нкете): 
- новостная лента ПРАЙМ — индивидуально подобранные новости ежедневно приходят в систему и на электронную почту
 - аннотации к документам
- возможность построить обзор изменений законодательства</w:t>
      </w:r>
    </w:p>
    <w:p/>
    <w:p>
      <w:pPr/>
      <w:r>
        <w:rPr>
          <w:rFonts w:ascii="Arial" w:hAnsi="Arial" w:eastAsia="Arial" w:cs="Arial"/>
          <w:lang w:val="ru-RU"/>
          <w:color w:val="120D21"/>
          <w:sz w:val="20"/>
          <w:szCs w:val="20"/>
          <w:b w:val="1"/>
          <w:bCs w:val="1"/>
        </w:rPr>
        <w:t xml:space="preserve">Архивы ГАРАНТа</w:t>
      </w:r>
    </w:p>
    <w:p>
      <w:pPr/>
      <w:r>
        <w:rPr>
          <w:rFonts w:ascii="Arial" w:hAnsi="Arial" w:eastAsia="Arial" w:cs="Arial"/>
          <w:lang w:val="ru-RU"/>
          <w:color w:val="120D21"/>
          <w:sz w:val="18"/>
          <w:szCs w:val="18"/>
        </w:rPr>
        <w:t xml:space="preserve">Информационный правовой блок "Архивы ГАРАНТа. Россия" содержит узковедомственные отраслевые документы, редкие нормативные акты, организационные и индивидуальные нормативные акты. По состоянию на март 2023 года этот блок содержит свыше 348 000 документов.</w:t>
      </w:r>
    </w:p>
    <w:p/>
    <w:p>
      <w:pPr/>
      <w:r>
        <w:rPr>
          <w:rFonts w:ascii="Arial" w:hAnsi="Arial" w:eastAsia="Arial" w:cs="Arial"/>
          <w:lang w:val="ru-RU"/>
          <w:color w:val="120D21"/>
          <w:sz w:val="20"/>
          <w:szCs w:val="20"/>
          <w:b w:val="1"/>
          <w:bCs w:val="1"/>
        </w:rPr>
        <w:t xml:space="preserve">Большая домашняя правовая энциклопедия</w:t>
      </w:r>
    </w:p>
    <w:p>
      <w:pPr/>
      <w:r>
        <w:rPr>
          <w:rFonts w:ascii="Arial" w:hAnsi="Arial" w:eastAsia="Arial" w:cs="Arial"/>
          <w:lang w:val="ru-RU"/>
          <w:color w:val="120D21"/>
          <w:sz w:val="18"/>
          <w:szCs w:val="18"/>
        </w:rPr>
        <w:t xml:space="preserve">«Большая домашняя правовая энциклопедия» - уникальный продукт, доступный каждому пользователю системы ГАРАНТ без дополнительной платы. Здесь приводятся ответы на вопросы, возникающие в быту. Все, что нужно знать каждому для защиты своих прав - ответы на тысячи вопросов, возникающих в повседневной жизни, вы найдете в системе ГАРАНТ.
Информационный блок «Большая домашняя правовая энциклопедия» в системах ГАРАНТ - это актуализируемый аналитический материал, охватывающий все стороны жизни современного человека: дом, семья, дети и их обучение, работа и отдых, медицина, недвижимость, оформление наследства, банковские счета и налоги, заключение различных договоров и сделок, защита прав потребителей, обращение в суд, помощь адвокатов и многое другое. Энциклопедия отличается большим количеством вопросов-ответов по реальным бытовым ситуациям и практических примеров, в том числе из судебной практики. Вопросы-ответы подключаются из «Базы знаний службы Правового консалтинга» и с сайта Правовед.RU.</w:t>
      </w:r>
    </w:p>
    <w:p/>
    <w:p>
      <w:pPr/>
      <w:r>
        <w:rPr>
          <w:rFonts w:ascii="Arial" w:hAnsi="Arial" w:eastAsia="Arial" w:cs="Arial"/>
          <w:lang w:val="ru-RU"/>
          <w:color w:val="120D21"/>
          <w:sz w:val="20"/>
          <w:szCs w:val="20"/>
          <w:b w:val="1"/>
          <w:bCs w:val="1"/>
        </w:rPr>
        <w:t xml:space="preserve">База знаний службы правового консалтинга</w:t>
      </w:r>
    </w:p>
    <w:p>
      <w:pPr/>
      <w:r>
        <w:rPr>
          <w:rFonts w:ascii="Arial" w:hAnsi="Arial" w:eastAsia="Arial" w:cs="Arial"/>
          <w:lang w:val="ru-RU"/>
          <w:color w:val="120D21"/>
          <w:sz w:val="18"/>
          <w:szCs w:val="18"/>
        </w:rPr>
        <w:t xml:space="preserve">На основе многолетнего практического опыта работы экспертов службы Правового консалтинга сформирована и постоянно пополняется база знаний, которая включает десятки тысяч готовых решений по самым различным вопросам. Ежемесячно в базу подключается более 500 новых заключений. По состоянию на март 2023 года в блоке «База знаний службы Правового консалтинга» содержится более 138 000 подробных персональных экспертных заключений по заданным пользователями вопросам.</w:t>
      </w:r>
    </w:p>
    <w:p/>
    <w:p>
      <w:pPr/>
      <w:r>
        <w:rPr>
          <w:rFonts w:ascii="Arial" w:hAnsi="Arial" w:eastAsia="Arial" w:cs="Arial"/>
          <w:lang w:val="ru-RU"/>
          <w:color w:val="120D21"/>
          <w:sz w:val="20"/>
          <w:szCs w:val="20"/>
          <w:b w:val="1"/>
          <w:bCs w:val="1"/>
        </w:rPr>
        <w:t xml:space="preserve">ГАРАНТ Консалтинг: нормативные акты и судебная практика</w:t>
      </w:r>
    </w:p>
    <w:p>
      <w:pPr/>
      <w:r>
        <w:rPr>
          <w:rFonts w:ascii="Arial" w:hAnsi="Arial" w:eastAsia="Arial" w:cs="Arial"/>
          <w:lang w:val="ru-RU"/>
          <w:color w:val="120D21"/>
          <w:sz w:val="18"/>
          <w:szCs w:val="18"/>
        </w:rPr>
        <w:t xml:space="preserve">Специальный блок, который содержит документы, на которые ссылаются эксперты в консультациях: федеральные и региональные нормативно-правовые акты, судебная практика.</w:t>
      </w:r>
    </w:p>
    <w:p/>
    <w:p>
      <w:pPr/>
      <w:r>
        <w:rPr>
          <w:rFonts w:ascii="Arial" w:hAnsi="Arial" w:eastAsia="Arial" w:cs="Arial"/>
          <w:lang w:val="ru-RU"/>
          <w:color w:val="120D21"/>
          <w:sz w:val="28"/>
          <w:szCs w:val="28"/>
          <w:b w:val="1"/>
          <w:bCs w:val="1"/>
        </w:rPr>
        <w:t xml:space="preserve">Пакет Энциклопедий решений</w:t>
      </w:r>
    </w:p>
    <w:p/>
    <w:p>
      <w:pPr/>
      <w:r>
        <w:rPr>
          <w:rFonts w:ascii="Arial" w:hAnsi="Arial" w:eastAsia="Arial" w:cs="Arial"/>
          <w:lang w:val="ru-RU"/>
          <w:color w:val="120D21"/>
          <w:sz w:val="20"/>
          <w:szCs w:val="20"/>
          <w:b w:val="1"/>
          <w:bCs w:val="1"/>
        </w:rPr>
        <w:t xml:space="preserve">Пакет Энциклопедий решений для бухгалтера</w:t>
      </w:r>
    </w:p>
    <w:p>
      <w:pPr/>
      <w:r>
        <w:rPr>
          <w:rFonts w:ascii="Arial" w:hAnsi="Arial" w:eastAsia="Arial" w:cs="Arial"/>
          <w:lang w:val="ru-RU"/>
          <w:color w:val="120D21"/>
          <w:sz w:val="18"/>
          <w:szCs w:val="18"/>
        </w:rPr>
        <w:t xml:space="preserve">Пакет Энциклопедий решений для бухгалтера в системах ГАРАНТ включает в себя следующие Энциклопедии решений:«Энциклопедия решений. Налоги и взносы»
«Энциклопедия решений. Хозяйственные ситуации»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w:t>
      </w:r>
    </w:p>
    <w:p/>
    <w:p>
      <w:pPr/>
      <w:r>
        <w:rPr>
          <w:rFonts w:ascii="Arial" w:hAnsi="Arial" w:eastAsia="Arial" w:cs="Arial"/>
          <w:lang w:val="ru-RU"/>
          <w:color w:val="120D21"/>
          <w:sz w:val="20"/>
          <w:szCs w:val="20"/>
          <w:b w:val="1"/>
          <w:bCs w:val="1"/>
        </w:rPr>
        <w:t xml:space="preserve">Пакет Энциклопедий решений для юриста</w:t>
      </w:r>
    </w:p>
    <w:p>
      <w:pPr/>
      <w:r>
        <w:rPr>
          <w:rFonts w:ascii="Arial" w:hAnsi="Arial" w:eastAsia="Arial" w:cs="Arial"/>
          <w:lang w:val="ru-RU"/>
          <w:color w:val="120D21"/>
          <w:sz w:val="18"/>
          <w:szCs w:val="18"/>
        </w:rPr>
        <w:t xml:space="preserve">Пакет Энциклопедий решений для юриста в системах ГАРАНТ включает в себя следующие Энциклопедии решений:«Энциклопедия решений. Госзакупки»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
«Энциклопедия решений. Корпоративное право»</w:t>
      </w:r>
    </w:p>
    <w:p/>
    <w:p>
      <w:pPr/>
      <w:r>
        <w:rPr>
          <w:rFonts w:ascii="Arial" w:hAnsi="Arial" w:eastAsia="Arial" w:cs="Arial"/>
          <w:lang w:val="ru-RU"/>
          <w:color w:val="120D21"/>
          <w:sz w:val="28"/>
          <w:szCs w:val="28"/>
          <w:b w:val="1"/>
          <w:bCs w:val="1"/>
        </w:rPr>
        <w:t xml:space="preserve">Энциклопедии решений</w:t>
      </w:r>
    </w:p>
    <w:p/>
    <w:p>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r>
        <w:rPr>
          <w:rFonts w:ascii="Arial" w:hAnsi="Arial" w:eastAsia="Arial" w:cs="Arial"/>
          <w:lang w:val="ru-RU"/>
          <w:color w:val="120D21"/>
          <w:sz w:val="18"/>
          <w:szCs w:val="18"/>
        </w:rPr>
        <w:t xml:space="preserve">Блок "Энциклопедия решений. Проверки организаций и предпринимателей" представляет собой подборку материалов, в которых рассмотрены основные вопросы, возникающие в ходе проведения проверок контрольными органами деятельности организаций и индивидуальных предпринимателей.
Содержит рекомендации по подготовке к проверкам и по действиям при их проведении. В каждом разделе присутствует подробное описание процедур, действий и правил поведения в той или иной ситуации.
Вся информация изложена доступным и понятным языком. Блок регулярно актуализируется и пополняется новыми материалами. Все консультационные материалы Энциклопедии соответствуют действующему законодательству, составлены с учетом судебной практики и опираются на позицию органов государственной власти и сложившуюся правоприменительную практику. В Энциклопедию входят материалы из информационного блока "Энциклопедия судебной практики. Правовые позиции судов".
Энциклопедия рассматривает следующие темы:
Налоговые проверки;
Проверки ПФР и ФСС РФ плательщиков страховых взносов;
Проверки трудовой инспекцией;
Проверки органами федерального государственного пожарного надзора;
Проверки соблюдения работодателями правил квотирования рабочих мест для инвалидов, молодежи и иных лиц;
Проверки, осуществляемые антимонопольной службой в сфере рекламы;
Прокурорские проверки.
Проверки Федеральной службой по регулированию алкогольного рынка
Проверки Федеральной миграционной службой
Государственный надзор, осуществляемый Роспотребнадзором: субъекты проверок, к кому и зачем приходит Роспотребнадзор?</w:t>
      </w:r>
    </w:p>
    <w:p/>
    <w:p>
      <w:pPr/>
      <w:r>
        <w:rPr>
          <w:rFonts w:ascii="Arial" w:hAnsi="Arial" w:eastAsia="Arial" w:cs="Arial"/>
          <w:lang w:val="ru-RU"/>
          <w:color w:val="120D21"/>
          <w:sz w:val="20"/>
          <w:szCs w:val="20"/>
          <w:b w:val="1"/>
          <w:bCs w:val="1"/>
        </w:rPr>
        <w:t xml:space="preserve">Энциклопедия решений. Хозяйственные ситуации</w:t>
      </w:r>
    </w:p>
    <w:p>
      <w:pPr/>
      <w:r>
        <w:rPr>
          <w:rFonts w:ascii="Arial" w:hAnsi="Arial" w:eastAsia="Arial" w:cs="Arial"/>
          <w:lang w:val="ru-RU"/>
          <w:color w:val="120D21"/>
          <w:sz w:val="18"/>
          <w:szCs w:val="18"/>
        </w:rPr>
        <w:t xml:space="preserve">Готовые решения наиболее острых вопросов, возникающих в
деятельности любого предприятия. В Энциклопедии каждая ситуация рассматривается с различных точек зрения и сопровождается всей
необходимой информацией: аналитическими материалами, наглядными примерами, типовыми бухгалтерскими проводками, ссылками на
арбитражную практику и письма контролирующих органов, позволяющих проанализировать возможные экономические и правовые риски,
примерами заполнения форм документов. Все это позволяет быстро найти ответ практически на любой вопрос и спланировать
дальнейшие действия. Все представленные в Энциклопедии материалы подготовлены экспертами службы Правового консалтинга
ГАРАНТ и основаны на обобщении их многолетнего практического опыта. Именно ежедневная работа с реальными запросами клиентов
позволила составить подборку актуальных и сугубо практических ситуаций, решения по которым востребованы специалистами любого
предприятия. Все представленные в Энциклопедии решения постоянно поддерживаются в актуальном состоянии, что гарантирует их
соответствие действующему законодательству и позволяет применять их без какой-либо дополнительной проверки.</w:t>
      </w:r>
    </w:p>
    <w:p/>
    <w:p>
      <w:pPr/>
      <w:r>
        <w:rPr>
          <w:rFonts w:ascii="Arial" w:hAnsi="Arial" w:eastAsia="Arial" w:cs="Arial"/>
          <w:lang w:val="ru-RU"/>
          <w:color w:val="120D21"/>
          <w:sz w:val="20"/>
          <w:szCs w:val="20"/>
          <w:b w:val="1"/>
          <w:bCs w:val="1"/>
        </w:rPr>
        <w:t xml:space="preserve">Энциклопедия решений. Госзакупки</w:t>
      </w:r>
    </w:p>
    <w:p>
      <w:pPr/>
      <w:r>
        <w:rPr>
          <w:rFonts w:ascii="Arial" w:hAnsi="Arial" w:eastAsia="Arial" w:cs="Arial"/>
          <w:lang w:val="ru-RU"/>
          <w:color w:val="120D21"/>
          <w:sz w:val="18"/>
          <w:szCs w:val="18"/>
        </w:rPr>
        <w:t xml:space="preserve">Основу блока составили документы, подготовленные специально для компании "Гарант". В блоке представлены нормативные акты, разъяснения и комментарии, административная практика, судебная практика и примерные формы документов. Размещенные в блоке материалы интересны обеим сторонам процесса госзаказа - и заказчикам, и поставщикам. Материалы блока всегда актуальны и готовы к применению без дополнительной проверки. Интерактивная технология позволяет создавать уникальные по своему удобству и дизайну страницы, на которых вся информация доступна в рамках одного экрана - достаточно просто кликнуть мышью по интересующему пункту.</w:t>
      </w:r>
    </w:p>
    <w:p/>
    <w:p>
      <w:pPr/>
      <w:r>
        <w:rPr>
          <w:rFonts w:ascii="Arial" w:hAnsi="Arial" w:eastAsia="Arial" w:cs="Arial"/>
          <w:lang w:val="ru-RU"/>
          <w:color w:val="120D21"/>
          <w:sz w:val="20"/>
          <w:szCs w:val="20"/>
          <w:b w:val="1"/>
          <w:bCs w:val="1"/>
        </w:rPr>
        <w:t xml:space="preserve">Энциклопедия решений. Трудовые отношения, кадры</w:t>
      </w:r>
    </w:p>
    <w:p>
      <w:pPr/>
      <w:r>
        <w:rPr>
          <w:rFonts w:ascii="Arial" w:hAnsi="Arial" w:eastAsia="Arial" w:cs="Arial"/>
          <w:lang w:val="ru-RU"/>
          <w:color w:val="120D21"/>
          <w:sz w:val="18"/>
          <w:szCs w:val="18"/>
        </w:rPr>
        <w:t xml:space="preserve">Блок состоит из отдельных решений по кадровой тематике. Система подачи материала такова, что каждый текст с помощью ссылок связан с другими текстами.
Все материалы представляют собой не только систематизированное изложение правовых норм, но и их практический комментарий. В решениях цитирование законодательства сведено к минимуму, а его толкование приводится во всех случаях, когда это необходимо. Авторы приводят свою точку зрения в тех ситуациях, когда прямого ответа на вопрос нет в законодательстве.
Все выводы сопровождаются обоснованием, содержащим ссылки на нормативные акты, разъяснительные письма ОГВ, арбитражную практику и, что особенно важно в рамках кадровой тематики, практику судов общей юрисдикции, которым подведомственны трудовые споры.
В Энциклопедии много формул, примеров, схем и таблиц. С их помощью информация воспринимается легко, решения принимаются быстро, а знания систематизируются. В Энциклопедию входят материалы из информационного блока "Энциклопедия судебной практики. Правовые позиции судов".
В Энциклопедии представлены аналитические материалы по следующим темам:
- Прекращение трудового договора (увольнение);
- Совместительство;
- Совмещение и другие виды дополнительной работы;
- Рабочее время;
- Время отдыха;
- Сверхурочная работа, работа в ночное время, выходные и праздники;
- Заработная плата;
- Средний заработок для случаев, предусмотренных ТК РФ;
- Пособия работникам;
- Служебная командировка;
- Дисциплинарная ответственность;
- Стаж;
- Проверки трудовой инспекцией;
- и другие.
Пользователям блока Энциклопедия решений. Трудовые отношения, кадры доступен
раздел, посвященный сбору и обработке персональных данных. Здесь можно найти
информацию о принципах и условиях такой обработки, в том числе узнать об особенностях
обработки специальных категорий персональных данных, о правах субъекта персональных
данных, а также ознакомиться с информацией о проверках Роскомнадзором исполнения
требований в данной области.</w:t>
      </w:r>
    </w:p>
    <w:p/>
    <w:p>
      <w:pPr/>
      <w:r>
        <w:rPr>
          <w:rFonts w:ascii="Arial" w:hAnsi="Arial" w:eastAsia="Arial" w:cs="Arial"/>
          <w:lang w:val="ru-RU"/>
          <w:color w:val="120D21"/>
          <w:sz w:val="20"/>
          <w:szCs w:val="20"/>
          <w:b w:val="1"/>
          <w:bCs w:val="1"/>
        </w:rPr>
        <w:t xml:space="preserve">Энциклопедия решений. Налоги и взносы</w:t>
      </w:r>
    </w:p>
    <w:p>
      <w:pPr/>
      <w:r>
        <w:rPr>
          <w:rFonts w:ascii="Arial" w:hAnsi="Arial" w:eastAsia="Arial" w:cs="Arial"/>
          <w:lang w:val="ru-RU"/>
          <w:color w:val="120D21"/>
          <w:sz w:val="18"/>
          <w:szCs w:val="18"/>
        </w:rPr>
        <w:t xml:space="preserve">Блок "Энциклопедия решений. Налоги и взносы" представляет собой набор актуальных экспертных комментариев к положениям налогового законодательства РФ. Энциклопедия состоит из аналитических статей, в каждой из которых рассмотрен отдельный вопрос налогообложения.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материалы из базы знаний Правового консалтинга, иллюстрирующие применение конкретных норм, а также примеры заполнения форм документов.
В блоке "Энциклопедия решений. Налоги и взносы" представлены аналитические материалы по темам:
- Налог на добавленную стоимость;
- Налог на доходы физических лиц;
- Налог на прибыль организаций;
- Единый сельскохозяйственный налог;
- Упрощенная система налогообложения;
- Единый налог на вмененный доход;
- Транспортный налог;
- Налог на имущество организаций;
- Земельный налог;
- Налог на имущество физических лиц;
- Взносы на обязательное социальное страхование;
- Налоговые проверки;
- Ответственность за совершение налогового правонарушения;
- Обжалование актов налоговых органов, действий или бездействия их должностных лиц;
- и другие.</w:t>
      </w:r>
    </w:p>
    <w:p/>
    <w:p>
      <w:pPr/>
      <w:r>
        <w:rPr>
          <w:rFonts w:ascii="Arial" w:hAnsi="Arial" w:eastAsia="Arial" w:cs="Arial"/>
          <w:lang w:val="ru-RU"/>
          <w:color w:val="120D21"/>
          <w:sz w:val="20"/>
          <w:szCs w:val="20"/>
          <w:b w:val="1"/>
          <w:bCs w:val="1"/>
        </w:rPr>
        <w:t xml:space="preserve">Энциклопедия решений. Договоры и иные сделки</w:t>
      </w:r>
    </w:p>
    <w:p>
      <w:pPr/>
      <w:r>
        <w:rPr>
          <w:rFonts w:ascii="Arial" w:hAnsi="Arial" w:eastAsia="Arial" w:cs="Arial"/>
          <w:lang w:val="ru-RU"/>
          <w:color w:val="120D21"/>
          <w:sz w:val="18"/>
          <w:szCs w:val="18"/>
        </w:rPr>
        <w:t xml:space="preserve">Используя в работе материалы, представленные в блоке, вы всегда будете знать, какие тонкости необходимо учитывать при выборе модели договорных правоотношений, на что следует обращать особое внимание при составлении текста договора.
В блоке содержатся материалы о часто используемых гражданско-правовых договорах, применяемых как в предпринимательской деятельности, так и в отношениях между гражданами.
Помимо общей характеристики договоров рассматриваются особенности их различных видов, освещаются проблемы, связанные с исполнением этих договоров, и предлагаются пути их решения, приводятся практические рекомендации. Здесь можно найти и актуальные формы всех представленных в блоке договоров, а также сопутствующие им документы (акты, уведомления, претензии и т.д.).
В блоке содержатся материалы, дающие базовые сведения о гражданско-правовых договорах, а также о порядке и формах осуществления расчетов между контрагентами. Такая информация будет необходима любому субъекту, имеющему намерение вступить в договорные отношения независимо от выбранного вида договора. В Энциклопедию входят материалы из информационного блока "Энциклопедия судебной практики. Правовые позиции судов".
В блоке представлены следующие материалы:
Гражданско-правовой договор. Общие положения
Доверенность
Купля-продажа
Поставка
Мена
Дарение
Аренда
Безвозмездное пользование
Подряд
Выполнение научно-исследовательских, опытно-конструкторских и технологических работ
Возмездное оказание услуг
Перевозка
Заем
Кредит
Расчеты
Хранение
Страхование
Поручение
Комиссия
Агентирование
Лицензионный договор
Цессия.</w:t>
      </w:r>
    </w:p>
    <w:p/>
    <w:p>
      <w:pPr/>
      <w:r>
        <w:rPr>
          <w:rFonts w:ascii="Arial" w:hAnsi="Arial" w:eastAsia="Arial" w:cs="Arial"/>
          <w:lang w:val="ru-RU"/>
          <w:color w:val="120D21"/>
          <w:sz w:val="20"/>
          <w:szCs w:val="20"/>
          <w:b w:val="1"/>
          <w:bCs w:val="1"/>
        </w:rPr>
        <w:t xml:space="preserve">Энциклопедия решений. Корпоративное право</w:t>
      </w:r>
    </w:p>
    <w:p>
      <w:pPr/>
      <w:r>
        <w:rPr>
          <w:rFonts w:ascii="Arial" w:hAnsi="Arial" w:eastAsia="Arial" w:cs="Arial"/>
          <w:lang w:val="ru-RU"/>
          <w:color w:val="120D21"/>
          <w:sz w:val="18"/>
          <w:szCs w:val="18"/>
        </w:rPr>
        <w:t xml:space="preserve">В блоке представлены 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Энциклопедия носит практическую направленность. В ней обобщен опыт службы Правового консалтинга ГАРАНТ, учтены последние изменения в законодательстве, позиция судов, разъяснения органов власти и сложившаяся правоприменительная практика. Информационный блок содержит материалы из "Энциклопедии судебной практики. Правовые позиции судов".
В блоке получили освещение следующие темы:
Создание юридического лица
Общество с ограниченной ответственность
Акционерное общество
Государственная регистрация юридических лиц
Наименование юридического лица. Фирменное наименование
Место нахождения юридического лица. Юридический и фактический адрес
Правоспособность юридических лиц
Счета юридических лиц
Печать юридического лица. Штампы и фирменные бланки
Обособленные подразделения. Филиалы и представительства
Дочерние общества
Зависимые общества
Гражданско-правовая ответственность юридических лиц
Аффилированные лица юридического лица
Реорганизация юридического лица
Ликвидация юридического лица
Антимонопольное регулирование</w:t>
      </w:r>
    </w:p>
    <w:p/>
    <w:p>
      <w:pPr/>
      <w:r>
        <w:rPr>
          <w:rFonts w:ascii="Arial" w:hAnsi="Arial" w:eastAsia="Arial" w:cs="Arial"/>
          <w:lang w:val="ru-RU"/>
          <w:color w:val="120D21"/>
          <w:sz w:val="28"/>
          <w:szCs w:val="28"/>
          <w:b w:val="1"/>
          <w:bCs w:val="1"/>
        </w:rPr>
        <w:t xml:space="preserve">Правовая Поддержка</w:t>
      </w:r>
    </w:p>
    <w:p/>
    <w:p>
      <w:pPr/>
      <w:r>
        <w:rPr>
          <w:rFonts w:ascii="Arial" w:hAnsi="Arial" w:eastAsia="Arial" w:cs="Arial"/>
          <w:lang w:val="ru-RU"/>
          <w:color w:val="120D21"/>
          <w:sz w:val="20"/>
          <w:szCs w:val="20"/>
          <w:b w:val="1"/>
          <w:bCs w:val="1"/>
        </w:rPr>
        <w:t xml:space="preserve">Горячая
линия</w:t>
      </w:r>
    </w:p>
    <w:p>
      <w:pPr/>
      <w:r>
        <w:rPr>
          <w:rFonts w:ascii="Arial" w:hAnsi="Arial" w:eastAsia="Arial" w:cs="Arial"/>
          <w:lang w:val="ru-RU"/>
          <w:color w:val="120D21"/>
          <w:sz w:val="18"/>
          <w:szCs w:val="18"/>
        </w:rPr>
        <w:t xml:space="preserve">Эта услуга доступна для всех
пользователей системы без
дополнительной оплаты. С помошью
чата в интернет-версии системы,
кнопки «Задать вопрос эксперту» или
просто по телефону, клиент может
связаться с нашими специалистами и
задать вопрос, касающийся:
- помощи в поиске в системе ответа
на свой правовой вопрос
- помощи в розыске редких
документов
- определении статуса документа
- вопросы, касающиеся сервисного
обслуживан</w:t>
      </w:r>
    </w:p>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32"/>
          <w:szCs w:val="32"/>
          <w:b w:val="1"/>
          <w:bCs w:val="1"/>
        </w:rPr>
        <w:t xml:space="preserve">Цена за комплект</w:t>
      </w:r>
    </w:p>
    <w:tbl>
      <w:tblGrid>
        <w:gridCol w:w="4725" w:type="dxa"/>
        <w:gridCol w:w="2025" w:type="dxa"/>
        <w:gridCol w:w="1525" w:type="dxa"/>
        <w:gridCol w:w="1525" w:type="dxa"/>
        <w:gridCol w:w="2025" w:type="dxa"/>
      </w:tblGrid>
      <w:tblPr>
        <w:tblStyle w:val="TableStyle"/>
      </w:tblPr>
      <w:tr>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bl>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
            </w:r>
          </w:p>
        </w:tc>
      </w:tr>
    </w:tbl>
    <w:p>
      <w:r>
        <w:br w:type="page"/>
      </w:r>
    </w:p>
    <w:p/>
    <w:tbl>
      <w:tblGrid>
        <w:gridCol w:w="5875.2" w:type="dxa"/>
        <w:gridCol w:w="856.8000000000001" w:type="dxa"/>
        <w:gridCol w:w="6120" w:type="dxa"/>
      </w:tblGrid>
      <w:tblPr>
        <w:tblStyle w:val="InvoiceHeaderTableStyle"/>
      </w:tblPr>
      <w:tr>
        <w:trPr>
          <w:trHeight w:val="800"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400"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Южный филиал АО 'Райффайзенбанк' г.Краснодар</w:t>
                  </w:r>
                </w:p>
              </w:tc>
            </w:tr>
            <w:tr>
              <w:trPr>
                <w:trHeight w:val="400" w:hRule="atLeast"/>
              </w:trPr>
              <w:tc>
                <w:tcPr>
                  <w:vAlign w:val="bottom"/>
                </w:tcPr>
                <w:p>
                  <w:pPr>
                    <w:jc w:val="left"/>
                    <w:spacing w:before="0" w:after="0" w:line="240" w:lineRule="auto"/>
                  </w:pPr>
                  <w:r>
                    <w:rPr>
                      <w:rFonts w:ascii="Arial" w:hAnsi="Arial" w:eastAsia="Arial" w:cs="Arial"/>
                      <w:lang w:val="ru-RU"/>
                      <w:color w:val="120D21"/>
                      <w:sz w:val="18"/>
                      <w:szCs w:val="18"/>
                    </w:rPr>
                    <w:t xml:space="preserve">Банк получателя</w:t>
                  </w:r>
                </w:p>
              </w:tc>
            </w:tr>
          </w:tbl>
          <w:p/>
        </w:tc>
        <w:tc>
          <w:tcPr>
            <w:tcW w:w="856.8000000000001" w:type="dxa"/>
            <w:tcBorders>
              <w:top w:val="single" w:sz="4" w:color="000000"/>
              <w:left w:val="single" w:sz="4" w:color="000000"/>
              <w:right w:val="single" w:sz="4" w:color="000000"/>
              <w:bottom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БИК</w:t>
                  </w:r>
                </w:p>
              </w:tc>
            </w:tr>
          </w:tbl>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Cx #</w:t>
                  </w:r>
                </w:p>
              </w:tc>
            </w:tr>
          </w:tbl>
          <w:p/>
        </w:tc>
        <w:tc>
          <w:tcPr>
            <w:tcW w:w="6120"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040349556</w:t>
                  </w:r>
                </w:p>
              </w:tc>
            </w:t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30101810900000000556</w:t>
                  </w:r>
                </w:p>
              </w:tc>
            </w:tr>
          </w:tbl>
          <w:p/>
        </w:tc>
      </w:tr>
      <w:tr>
        <w:trPr>
          <w:trHeight w:val="222.22222222222223" w:hRule="atLeast"/>
        </w:trPr>
        <w:tc>
          <w:tcPr>
            <w:tcW w:w="5875.2" w:type="dxa"/>
            <w:tcBorders>
              <w:top w:val="single" w:sz="4" w:color="000000"/>
              <w:left w:val="single" w:sz="4" w:color="000000"/>
              <w:right w:val="single" w:sz="4" w:color="000000"/>
              <w:bottom w:val="single" w:sz="4" w:color="000000"/>
            </w:tcBorders>
          </w:tcPr>
          <w:tbl>
            <w:tblGrid>
              <w:gridCol w:w="300" w:type="dxa"/>
              <w:gridCol w:w="1500" w:type="dxa"/>
              <w:gridCol w:w="300" w:type="dxa"/>
              <w:gridCol w:w="3775.2"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ИНН</w:t>
                  </w:r>
                </w:p>
              </w:tc>
              <w:tc>
                <w:tcPr>
                  <w:tcW w:w="15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262900156801</w:t>
                  </w:r>
                </w:p>
              </w:tc>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КПП</w:t>
                  </w:r>
                </w:p>
              </w:tc>
              <w:tc>
                <w:tcPr>
                  <w:tcW w:w="3775.2"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856.8000000000001" w:type="dxa"/>
            <w:tcBorders>
              <w:right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Сч. №</w:t>
                  </w:r>
                </w:p>
              </w:tc>
            </w:tr>
          </w:tbl>
          <w:p/>
        </w:tc>
        <w:tc>
          <w:tcPr>
            <w:tcW w:w="6120" w:type="dxa"/>
            <w:tcBorders>
              <w:right w:val="single" w:sz="4" w:color="000000"/>
            </w:tcBorders>
          </w:tcPr>
          <w:tbl>
            <w:tblGrid>
              <w:gridCol w:w="6120"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6120" w:type="dxa"/>
                </w:tcPr>
                <w:p>
                  <w:pPr>
                    <w:jc w:val="left"/>
                    <w:spacing w:before="0" w:after="0" w:line="240" w:lineRule="auto"/>
                  </w:pPr>
                  <w:r>
                    <w:rPr>
                      <w:rFonts w:ascii="Arial" w:hAnsi="Arial" w:eastAsia="Arial" w:cs="Arial"/>
                      <w:lang w:val="ru-RU"/>
                      <w:color w:val="120D21"/>
                      <w:sz w:val="18"/>
                      <w:szCs w:val="18"/>
                    </w:rPr>
                    <w:t xml:space="preserve">40802810826000050639</w:t>
                  </w:r>
                </w:p>
              </w:tc>
            </w:tr>
          </w:tbl>
          <w:p/>
        </w:tc>
      </w:tr>
      <w:tr>
        <w:trPr>
          <w:trHeight w:val="577.7777777777778"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88.8888888888889"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ИП Савчук А.В.</w:t>
                  </w:r>
                </w:p>
              </w:tc>
            </w:tr>
            <w:tr>
              <w:trPr>
                <w:trHeight w:val="288.8888888888889" w:hRule="atLeast"/>
              </w:trPr>
              <w:tc>
                <w:tcPr>
                  <w:tcW w:w="5875.2" w:type="dxa"/>
                  <w:vAlign w:val="bottom"/>
                </w:tcPr>
                <w:p>
                  <w:pPr>
                    <w:jc w:val="left"/>
                    <w:spacing w:before="0" w:after="0" w:line="240" w:lineRule="auto"/>
                  </w:pPr>
                  <w:r>
                    <w:rPr>
                      <w:rFonts w:ascii="Arial" w:hAnsi="Arial" w:eastAsia="Arial" w:cs="Arial"/>
                      <w:lang w:val="ru-RU"/>
                      <w:color w:val="120D21"/>
                      <w:sz w:val="18"/>
                      <w:szCs w:val="18"/>
                    </w:rPr>
                    <w:t xml:space="preserve">Получатель</w:t>
                  </w:r>
                </w:p>
              </w:tc>
            </w:tr>
          </w:tbl>
          <w:p/>
        </w:tc>
        <w:tc>
          <w:tcPr>
            <w:tcW w:w="856.8000000000001"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6120"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r>
    </w:tbl>
    <w:p/>
    <w:p/>
    <w:p/>
    <w:p>
      <w:pPr>
        <w:jc w:val="center"/>
        <w:spacing w:before="0" w:after="1" w:line="360" w:lineRule="auto"/>
      </w:pPr>
      <w:r>
        <w:rPr>
          <w:rFonts w:ascii="Arial" w:hAnsi="Arial" w:eastAsia="Arial" w:cs="Arial"/>
          <w:lang w:val="ru-RU"/>
          <w:color w:val="120D21"/>
          <w:sz w:val="32"/>
          <w:szCs w:val="32"/>
          <w:b w:val="1"/>
          <w:bCs w:val="1"/>
        </w:rPr>
        <w:t xml:space="preserve">Счет на оплату N __   от 01.01.01</w:t>
      </w:r>
    </w:p>
    <w:p/>
    <w:p/>
    <w:tbl>
      <w:tblGrid>
        <w:gridCol w:w="10800" w:type="dxa"/>
      </w:tblGrid>
      <w:tr>
        <w:trPr/>
        <w:tc>
          <w:tcPr>
            <w:tcW w:w="10800" w:type="dxa"/>
            <w:tcBorders>
              <w:top w:val="single" w:sz="0" w:color="FFFFFF"/>
              <w:left w:val="single" w:sz="0" w:color="FFFFFF"/>
              <w:right w:val="single" w:sz="0" w:color="FFFFFF"/>
              <w:bottom w:val="single" w:sz="0" w:color="FFFFFF"/>
            </w:tcBorders>
          </w:tcPr>
          <w:tbl>
            <w:tblGrid>
              <w:gridCol w:w="10800" w:type="dxa"/>
            </w:tblGrid>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Поставщик: </w:t>
                  </w:r>
                  <w:r>
                    <w:rPr>
                      <w:rFonts w:ascii="Arial" w:hAnsi="Arial" w:eastAsia="Arial" w:cs="Arial"/>
                      <w:lang w:val="ru-RU"/>
                      <w:color w:val="120D21"/>
                      <w:sz w:val="18"/>
                      <w:szCs w:val="18"/>
                    </w:rPr>
                    <w:t xml:space="preserve">Индивидуальный Предприниматель Савчук Анатолий Викторович</w:t>
                  </w:r>
                  <w:r>
                    <w:rPr>
                      <w:rFonts w:ascii="Arial" w:hAnsi="Arial" w:eastAsia="Arial" w:cs="Arial"/>
                      <w:lang w:val="ru-RU"/>
                      <w:color w:val="120D21"/>
                      <w:sz w:val="18"/>
                      <w:szCs w:val="18"/>
                    </w:rPr>
                    <w:t xml:space="preserve">, ИНН: 262900156801</w:t>
                  </w:r>
                  <w:r>
                    <w:rPr>
                      <w:rFonts w:ascii="Arial" w:hAnsi="Arial" w:eastAsia="Arial" w:cs="Arial"/>
                      <w:lang w:val="ru-RU"/>
                      <w:color w:val="120D21"/>
                      <w:sz w:val="18"/>
                      <w:szCs w:val="18"/>
                    </w:rPr>
                    <w:t xml:space="preserve">, адрес:357340, Ставропольский край, Лермонтов г, Октябрьская ул, дом № 50, кв.28</w:t>
                  </w:r>
                  <w:r>
                    <w:rPr>
                      <w:rFonts w:ascii="Arial" w:hAnsi="Arial" w:eastAsia="Arial" w:cs="Arial"/>
                      <w:lang w:val="ru-RU"/>
                      <w:color w:val="120D21"/>
                      <w:sz w:val="18"/>
                      <w:szCs w:val="18"/>
                    </w:rPr>
                    <w:t xml:space="preserve">, телефон:7(800)7000394</w:t>
                  </w:r>
                </w:p>
              </w:tc>
            </w:tr>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Покупатель: </w:t>
                  </w:r>
                  <w:r>
                    <w:rPr>
                      <w:rFonts w:ascii="Arial" w:hAnsi="Arial" w:eastAsia="Arial" w:cs="Arial"/>
                      <w:lang w:val="ru-RU"/>
                      <w:color w:val="120D21"/>
                      <w:sz w:val="18"/>
                      <w:szCs w:val="18"/>
                    </w:rPr>
                    <w:t xml:space="preserve">Министерство труда и социального развития РСО-А</w:t>
                  </w:r>
                  <w:r>
                    <w:rPr>
                      <w:rFonts w:ascii="Arial" w:hAnsi="Arial" w:eastAsia="Arial" w:cs="Arial"/>
                      <w:lang w:val="ru-RU"/>
                      <w:color w:val="120D21"/>
                      <w:sz w:val="18"/>
                      <w:szCs w:val="18"/>
                    </w:rPr>
                    <w:t xml:space="preserve">, ИНН 1234567890</w:t>
                  </w:r>
                </w:p>
              </w:tc>
            </w:tr>
          </w:tbl>
          <w:p/>
        </w:tc>
      </w:tr>
    </w:tbl>
    <w:p/>
    <w:tbl>
      <w:tblGrid>
        <w:gridCol w:w="5400" w:type="dxa"/>
        <w:gridCol w:w="2700" w:type="dxa"/>
        <w:gridCol w:w="2200" w:type="dxa"/>
        <w:gridCol w:w="2200" w:type="dxa"/>
        <w:gridCol w:w="2700" w:type="dxa"/>
      </w:tblGrid>
      <w:tblPr>
        <w:tblStyle w:val="TableStyle"/>
      </w:tblPr>
      <w:tr>
        <w:trPr>
          <w:trHeight w:val="4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bl>
    <w:p/>
    <w:p>
      <w:pPr>
        <w:jc w:val="end"/>
        <w:spacing w:before="0" w:after="1" w:line="360"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Семь тысяч триста девяносто шесть рублей ноль копеек без НДС</w:t>
      </w:r>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
            </w:r>
          </w:p>
        </w:tc>
      </w:tr>
    </w:tbl>
    <w:sectPr>
      <w:headerReference w:type="default" r:id="rId9"/>
      <w:pgSz w:orient="portrait" w:w="12240" w:h="15840"/>
      <w:pgMar w:top="1440" w:right="720" w:bottom="144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896" w:type="dxa"/>
      <w:gridCol w:w="8160" w:type="dxa"/>
    </w:tblGrid>
    <w:tr>
      <w:trPr/>
      <w:tc>
        <w:tcPr>
          <w:tcW w:w="4896" w:type="dxa"/>
        </w:tcPr>
        <w:tbl>
          <w:tblGrid>
            <w:gridCol w:w="4896" w:type="dxa"/>
          </w:tblGrid>
          <w:tr>
            <w:trPr/>
            <w:tc>
              <w:tcPr>
                <w:tcW w:w="4896" w:type="dxa"/>
              </w:tcPr>
              <w:p>
                <w:pPr>
                  <w:spacing w:before="0" w:after="0"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 ИНН: 262900156801, </w:t>
                </w:r>
              </w:p>
            </w:tc>
          </w:tr>
          <w:tr>
            <w:trPr/>
            <w:tc>
              <w:tcPr>
                <w:tcW w:w="4896" w:type="dxa"/>
              </w:tcPr>
              <w:p>
                <w:pPr>
                  <w:spacing w:before="0" w:after="0" w:line="240" w:lineRule="auto"/>
                </w:pPr>
                <w:r>
                  <w:rPr>
                    <w:rFonts w:ascii="Arial" w:hAnsi="Arial" w:eastAsia="Arial" w:cs="Arial"/>
                    <w:lang w:val="ru-RU"/>
                    <w:color w:val="120D21"/>
                    <w:sz w:val="18"/>
                    <w:szCs w:val="18"/>
                  </w:rPr>
                  <w:t xml:space="preserve">357340, Ставропольский край, Лермонтов г, Матвиенко ул, дом № 12, корпус 2, 7(800)7000394, info@garant26.ru</w:t>
                </w:r>
              </w:p>
            </w:tc>
          </w:tr>
        </w:tbl>
        <w:p/>
      </w:tc>
      <w:tc>
        <w:tcPr>
          <w:tcW w:w="8160" w:type="dxa"/>
        </w:tcPr>
        <w:p>
          <w:pPr>
            <w:jc w:val="end"/>
          </w:pPr>
          <w:r>
            <w:pict>
              <v:shape type="#_x0000_t75" stroked="f" style="width:120pt; height:50.896551724138pt; margin-left:0pt; margin-top:0pt; mso-position-horizontal:left; mso-position-vertical:top; mso-position-horizontal-relative:char; mso-position-vertical-relative:line; z-index:-2147483647;">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2024-02-01T12:07:01+00:00</dcterms:created>
  <dcterms:modified xsi:type="dcterms:W3CDTF">2024-02-01T12:07:01+00:00</dcterms:modified>
</cp:coreProperties>
</file>

<file path=docProps/custom.xml><?xml version="1.0" encoding="utf-8"?>
<Properties xmlns="http://schemas.openxmlformats.org/officeDocument/2006/custom-properties" xmlns:vt="http://schemas.openxmlformats.org/officeDocument/2006/docPropsVTypes"/>
</file>