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w="10800" w:type="dxa"/>
        <w:gridCol w:w="10800" w:type="dxa"/>
      </w:tblGrid>
      <w:tr>
        <w:trPr/>
        <w:tc>
          <w:tcPr>
            <w:tcW w:w="10800" w:type="dxa"/>
          </w:tcPr>
          <w:p>
            <w:pPr>
              <w:jc w:val="left"/>
              <w:spacing w:line="240" w:lineRule="auto"/>
            </w:pPr>
            <w:r>
              <w:rPr>
                <w:rFonts w:ascii="Arial" w:hAnsi="Arial" w:eastAsia="Arial" w:cs="Arial"/>
                <w:lang w:val="ru-RU"/>
                <w:color w:val="120D21"/>
                <w:sz w:val="18"/>
                <w:szCs w:val="18"/>
              </w:rPr>
              <w:t xml:space="preserve">Исх. № КП-143-24</w:t>
            </w:r>
          </w:p>
        </w:tc>
        <w:tc>
          <w:tcPr>
            <w:tcW w:w="10800" w:type="dxa"/>
          </w:tcPr>
          <w:p>
            <w:pPr>
              <w:jc w:val="end"/>
              <w:spacing w:before="0" w:after="0" w:line="240" w:lineRule="auto"/>
            </w:pPr>
            <w:r>
              <w:rPr>
                <w:rFonts w:ascii="Arial" w:hAnsi="Arial" w:eastAsia="Arial" w:cs="Arial"/>
                <w:lang w:val="ru-RU"/>
                <w:color w:val="120D21"/>
                <w:sz w:val="18"/>
                <w:szCs w:val="18"/>
              </w:rPr>
              <w:t xml:space="preserve">Министерство труда и социального развития РСО-А</w:t>
            </w:r>
          </w:p>
          <w:p>
            <w:pPr>
              <w:jc w:val="end"/>
              <w:spacing w:before="0" w:after="0" w:line="240" w:lineRule="auto"/>
            </w:pPr>
            <w:r>
              <w:rPr>
                <w:rFonts w:ascii="Arial" w:hAnsi="Arial" w:eastAsia="Arial" w:cs="Arial"/>
                <w:lang w:val="ru-RU"/>
                <w:color w:val="120D21"/>
                <w:sz w:val="18"/>
                <w:szCs w:val="18"/>
              </w:rPr>
              <w:t xml:space="preserve">ИНН: 1234567890</w:t>
            </w:r>
          </w:p>
          <w:p>
            <w:pPr>
              <w:jc w:val="end"/>
              <w:spacing w:before="0" w:after="0" w:line="240" w:lineRule="auto"/>
            </w:pPr>
            <w:r>
              <w:rPr>
                <w:rFonts w:ascii="Arial" w:hAnsi="Arial" w:eastAsia="Arial" w:cs="Arial"/>
                <w:lang w:val="ru-RU"/>
                <w:color w:val="120D21"/>
                <w:sz w:val="18"/>
                <w:szCs w:val="18"/>
              </w:rPr>
              <w:t xml:space="preserve">Директору</w:t>
            </w:r>
          </w:p>
          <w:p>
            <w:pPr>
              <w:jc w:val="end"/>
              <w:spacing w:before="0" w:after="0" w:line="240" w:lineRule="auto"/>
            </w:pPr>
            <w:r>
              <w:rPr>
                <w:rFonts w:ascii="Arial" w:hAnsi="Arial" w:eastAsia="Arial" w:cs="Arial"/>
                <w:lang w:val="ru-RU"/>
                <w:color w:val="120D21"/>
                <w:sz w:val="18"/>
                <w:szCs w:val="18"/>
              </w:rPr>
              <w:t xml:space="preserve">Ивану Иванову</w:t>
            </w:r>
          </w:p>
        </w:tc>
      </w:tr>
    </w:tbl>
    <w:p/>
    <w:p>
      <w:pPr>
        <w:jc w:val="center"/>
      </w:pPr>
      <w:r>
        <w:rPr>
          <w:rFonts w:ascii="Arial" w:hAnsi="Arial" w:eastAsia="Arial" w:cs="Arial"/>
          <w:lang w:val="ru-RU"/>
          <w:color w:val="120D21"/>
          <w:sz w:val="24"/>
          <w:szCs w:val="24"/>
          <w:b w:val="1"/>
          <w:bCs w:val="1"/>
        </w:rPr>
        <w:t xml:space="preserve">Иван Иванов</w:t>
      </w:r>
    </w:p>
    <w:p>
      <w:pPr/>
      <w:r>
        <w:rPr>
          <w:rFonts w:ascii="Arial" w:hAnsi="Arial" w:eastAsia="Arial" w:cs="Arial"/>
          <w:lang w:val="ru-RU"/>
          <w:color w:val="120D21"/>
          <w:sz w:val="20"/>
          <w:szCs w:val="20"/>
          <w:b w:val="0"/>
          <w:bCs w:val="0"/>
        </w:rPr>
        <w:t xml:space="preserve">В честь 30-летия компании мы предоставляем уникальную возможность воспользоваться передовыми технологиями в работе с правовой информацией по доступной цене. </w:t>
      </w:r>
      <w:br/>
      <w:r>
        <w:rPr>
          <w:rFonts w:ascii="Arial" w:hAnsi="Arial" w:eastAsia="Arial" w:cs="Arial"/>
          <w:lang w:val="ru-RU"/>
          <w:color w:val="120D21"/>
          <w:sz w:val="20"/>
          <w:szCs w:val="20"/>
          <w:b w:val="0"/>
          <w:bCs w:val="0"/>
        </w:rPr>
        <w:t xml:space="preserve">С системой ГАРАНТ Вы сможете: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Решить любую задачу с полной информационной и правовой поддержкой:</w:t>
      </w:r>
      <w:r>
        <w:rPr>
          <w:rFonts w:ascii="Arial" w:hAnsi="Arial" w:eastAsia="Arial" w:cs="Arial"/>
          <w:lang w:val="ru-RU"/>
          <w:color w:val="120D21"/>
          <w:sz w:val="20"/>
          <w:szCs w:val="20"/>
          <w:b w:val="0"/>
          <w:bCs w:val="0"/>
        </w:rPr>
        <w:t xml:space="preserve"> нормативные акты федерального и регионального уровня; профессиональная аналитика; практические рекомендации; более 120 000 готовых экспертных заключений; библиотеки, судебная практика, профессиональные СМИ.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Получать индивидуальные заключения по Вашим вопросам от экспертов федерального уровня! </w:t>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Пользоваться качественным сервисным обслуживанием:</w:t>
      </w:r>
      <w:r>
        <w:rPr>
          <w:rFonts w:ascii="Arial" w:hAnsi="Arial" w:eastAsia="Arial" w:cs="Arial"/>
          <w:lang w:val="ru-RU"/>
          <w:color w:val="120D21"/>
          <w:sz w:val="20"/>
          <w:szCs w:val="20"/>
          <w:b w:val="0"/>
          <w:bCs w:val="0"/>
        </w:rPr>
        <w:t xml:space="preserve">  возможность обращаться на Горячую линию правовой поддержки, обучение работе с системой, техническая поддержка.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только с актуальной правовой информацией:</w:t>
      </w:r>
      <w:r>
        <w:rPr>
          <w:rFonts w:ascii="Arial" w:hAnsi="Arial" w:eastAsia="Arial" w:cs="Arial"/>
          <w:lang w:val="ru-RU"/>
          <w:color w:val="120D21"/>
          <w:sz w:val="20"/>
          <w:szCs w:val="20"/>
          <w:b w:val="0"/>
          <w:bCs w:val="0"/>
        </w:rPr>
        <w:t xml:space="preserve">  комплект обновляется 3 раза в день!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Всегда иметь под рукой наиболее полную базу: </w:t>
      </w:r>
      <w:r>
        <w:rPr>
          <w:rFonts w:ascii="Arial" w:hAnsi="Arial" w:eastAsia="Arial" w:cs="Arial"/>
          <w:lang w:val="ru-RU"/>
          <w:color w:val="120D21"/>
          <w:sz w:val="20"/>
          <w:szCs w:val="20"/>
          <w:b w:val="0"/>
          <w:bCs w:val="0"/>
        </w:rPr>
        <w:t xml:space="preserve"> Вам доступны более 150 000 000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  </w:t>
      </w:r>
      <w:br/>
      <w:r>
        <w:rPr>
          <w:rFonts w:ascii="Arial" w:hAnsi="Arial" w:eastAsia="Arial" w:cs="Arial"/>
          <w:lang w:val="ru-RU"/>
          <w:color w:val="005fa8"/>
          <w:sz w:val="20"/>
          <w:szCs w:val="20"/>
          <w:b w:val="1"/>
          <w:bCs w:val="1"/>
        </w:rPr>
        <w:t xml:space="preserve"/>
      </w:r>
      <w:r>
        <w:rPr>
          <w:rFonts w:ascii="Arial" w:hAnsi="Arial" w:eastAsia="Arial" w:cs="Arial"/>
          <w:lang w:val="ru-RU"/>
          <w:color w:val="120D21"/>
          <w:sz w:val="20"/>
          <w:szCs w:val="20"/>
          <w:b w:val="0"/>
          <w:bCs w:val="0"/>
        </w:rPr>
        <w:t xml:space="preserve">Все самое важное и необходимое для работы будет всегда под рукой! Благодаря 9 настраиваемым профессиональным страницам, каждый специалист Вашей организации сможет быстро ориентироваться в правовом поле, легко работать с большим объемом информации.  </w:t>
      </w:r>
      <w:br/>
      <w:r>
        <w:rPr>
          <w:rFonts w:ascii="Arial" w:hAnsi="Arial" w:eastAsia="Arial" w:cs="Arial"/>
          <w:lang w:val="ru-RU"/>
          <w:color w:val="120D21"/>
          <w:sz w:val="20"/>
          <w:szCs w:val="20"/>
          <w:b w:val="0"/>
          <w:bCs w:val="0"/>
        </w:rPr>
        <w:t xml:space="preserve"/>
      </w: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Работать с системой при первой необходимости:</w:t>
      </w:r>
      <w:r>
        <w:rPr>
          <w:rFonts w:ascii="Arial" w:hAnsi="Arial" w:eastAsia="Arial" w:cs="Arial"/>
          <w:lang w:val="ru-RU"/>
          <w:color w:val="120D21"/>
          <w:sz w:val="20"/>
          <w:szCs w:val="20"/>
          <w:b w:val="0"/>
          <w:bCs w:val="0"/>
        </w:rPr>
        <w:t xml:space="preserve"> в любое время и в любом месте – на работе, в командировке, на заседании суда, дома.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Получить полную информацию о контрагенте, а также защитить свои активы</w:t>
      </w:r>
      <w:r>
        <w:rPr>
          <w:rFonts w:ascii="Arial" w:hAnsi="Arial" w:eastAsia="Arial" w:cs="Arial"/>
          <w:lang w:val="ru-RU"/>
          <w:color w:val="120D21"/>
          <w:sz w:val="20"/>
          <w:szCs w:val="20"/>
          <w:b w:val="0"/>
          <w:bCs w:val="0"/>
        </w:rPr>
        <w:t xml:space="preserve"> с помощью сервисов «Экспресс Проверка» и «Бизнес на контроле». </w:t>
      </w:r>
      <w:br/>
      <w:r>
        <w:rPr>
          <w:rFonts w:ascii="Arial" w:hAnsi="Arial" w:eastAsia="Arial" w:cs="Arial"/>
          <w:lang w:val="ru-RU"/>
          <w:color w:val="120D21"/>
          <w:sz w:val="20"/>
          <w:szCs w:val="20"/>
          <w:b w:val="0"/>
          <w:bCs w:val="0"/>
        </w:rPr>
        <w:t xml:space="preserve">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Быстро и правильно</w:t>
      </w:r>
      <w:r>
        <w:rPr>
          <w:rFonts w:ascii="Arial" w:hAnsi="Arial" w:eastAsia="Arial" w:cs="Arial"/>
          <w:lang w:val="ru-RU"/>
          <w:color w:val="120D21"/>
          <w:sz w:val="20"/>
          <w:szCs w:val="20"/>
          <w:b w:val="0"/>
          <w:bCs w:val="0"/>
        </w:rPr>
        <w:t xml:space="preserve"> создать учетную политику организации, подготовить договор или доверенность, написать претензию или исковое заявление с конструктором учетной политики и правовых документов.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Организовать профессиональное обучение!</w:t>
      </w:r>
      <w:r>
        <w:rPr>
          <w:rFonts w:ascii="Arial" w:hAnsi="Arial" w:eastAsia="Arial" w:cs="Arial"/>
          <w:lang w:val="ru-RU"/>
          <w:color w:val="120D21"/>
          <w:sz w:val="20"/>
          <w:szCs w:val="20"/>
          <w:b w:val="0"/>
          <w:bCs w:val="0"/>
        </w:rPr>
        <w:t xml:space="preserve"> Повышайте свою квалификацию и узнавайте мнение экспертов по актуальным правовым вопросам и изменениям в законодательстве.  </w:t>
      </w:r>
      <w:br/>
      <w:r>
        <w:rPr>
          <w:rFonts w:ascii="Arial" w:hAnsi="Arial" w:eastAsia="Arial" w:cs="Arial"/>
          <w:lang w:val="ru-RU"/>
          <w:color w:val="120D21"/>
          <w:sz w:val="20"/>
          <w:szCs w:val="20"/>
          <w:b w:val="0"/>
          <w:bCs w:val="0"/>
        </w:rPr>
        <w:t xml:space="preserve"/>
      </w:r>
      <w:r>
        <w:rPr>
          <w:rFonts w:ascii="Arial" w:hAnsi="Arial" w:eastAsia="Arial" w:cs="Arial"/>
          <w:lang w:val="ru-RU"/>
          <w:color w:val="005fa8"/>
          <w:sz w:val="20"/>
          <w:szCs w:val="20"/>
          <w:b w:val="1"/>
          <w:bCs w:val="1"/>
        </w:rPr>
        <w:t xml:space="preserve">Оптимизировать свои расходы на информационно-правовое обеспечение</w:t>
      </w:r>
      <w:r>
        <w:rPr>
          <w:rFonts w:ascii="Arial" w:hAnsi="Arial" w:eastAsia="Arial" w:cs="Arial"/>
          <w:lang w:val="ru-RU"/>
          <w:color w:val="120D21"/>
          <w:sz w:val="20"/>
          <w:szCs w:val="20"/>
          <w:b w:val="0"/>
          <w:bCs w:val="0"/>
        </w:rPr>
        <w:t xml:space="preserve"> благодаря нашей гибкой ценовой политике и специальным условиям!</w:t>
      </w:r>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28"/>
          <w:szCs w:val="28"/>
          <w:b w:val="1"/>
          <w:bCs w:val="1"/>
        </w:rPr>
        <w:t xml:space="preserve">Информационное наполнение</w:t>
      </w:r>
    </w:p>
    <w:tbl>
      <w:tblGrid>
        <w:gridCol w:w="10700" w:type="dxa"/>
      </w:tblGrid>
      <w:tblPr>
        <w:tblStyle w:val="TableStyle"/>
      </w:tblP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Нормативно-правовые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Законодательство России</w:t>
                  </w:r>
                </w:p>
                <w:p>
                  <w:pPr>
                    <w:jc w:val="left"/>
                    <w:spacing w:before="0" w:after="0" w:line="276" w:lineRule="auto"/>
                  </w:pPr>
                  <w:r>
                    <w:rPr>
                      <w:rFonts w:ascii="Arial" w:hAnsi="Arial" w:eastAsia="Arial" w:cs="Arial"/>
                      <w:lang w:val="ru-RU"/>
                      <w:color w:val="120D21"/>
                      <w:sz w:val="18"/>
                      <w:szCs w:val="18"/>
                    </w:rPr>
                    <w:t xml:space="preserve">Информационное ядро системы – документы, регулирующие вопросы федерального ведения и совместного ведения РФ и субъектов РФ.  В состав этого блока входят нормативно-правовые документы, необходимые всем пользователям как первоисточник для ведения любого вида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Региональное законодательство</w:t>
                  </w:r>
                </w:p>
                <w:p>
                  <w:pPr>
                    <w:jc w:val="left"/>
                    <w:spacing w:before="0" w:after="0" w:line="276" w:lineRule="auto"/>
                  </w:pPr>
                  <w:r>
                    <w:rPr>
                      <w:rFonts w:ascii="Arial" w:hAnsi="Arial" w:eastAsia="Arial" w:cs="Arial"/>
                      <w:lang w:val="ru-RU"/>
                      <w:color w:val="120D21"/>
                      <w:sz w:val="18"/>
                      <w:szCs w:val="18"/>
                    </w:rPr>
                    <w:t xml:space="preserve">Документы органов власти регионов, в том числе по вопросам бюджетного, налогового,жилищного устройства; Практика городских судов, региональных налоговый календарей, бизнес справки, формы налоговой и бухгалтерской отчетности.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Отраслевое законодательство России</w:t>
                  </w:r>
                </w:p>
                <w:p>
                  <w:pPr>
                    <w:jc w:val="left"/>
                    <w:spacing w:before="0" w:after="0" w:line="276" w:lineRule="auto"/>
                  </w:pPr>
                  <w:r>
                    <w:rPr>
                      <w:rFonts w:ascii="Arial" w:hAnsi="Arial" w:eastAsia="Arial" w:cs="Arial"/>
                      <w:lang w:val="ru-RU"/>
                      <w:color w:val="120D21"/>
                      <w:sz w:val="18"/>
                      <w:szCs w:val="18"/>
                    </w:rPr>
                    <w:t xml:space="preserve">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Судебная практика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высших судебных органов</w:t>
                  </w:r>
                </w:p>
                <w:p>
                  <w:pPr>
                    <w:jc w:val="left"/>
                    <w:spacing w:before="0" w:after="0" w:line="276" w:lineRule="auto"/>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судов округов</w:t>
                  </w:r>
                </w:p>
                <w:p>
                  <w:pPr>
                    <w:jc w:val="left"/>
                    <w:spacing w:before="0" w:after="0" w:line="276" w:lineRule="auto"/>
                  </w:pPr>
                  <w:r>
                    <w:rPr>
                      <w:rFonts w:ascii="Arial" w:hAnsi="Arial" w:eastAsia="Arial" w:cs="Arial"/>
                      <w:lang w:val="ru-RU"/>
                      <w:color w:val="120D21"/>
                      <w:sz w:val="18"/>
                      <w:szCs w:val="18"/>
                    </w:rPr>
                    <w:t xml:space="preserve">Судебная практика всех 10 федеральных арбитражных судов округов - постановления, определения и обзоры практики суда по применению нормативных актов.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jc w:val="left"/>
                    <w:spacing w:before="0" w:after="0" w:line="276" w:lineRule="auto"/>
                  </w:pPr>
                  <w:r>
                    <w:rPr>
                      <w:rFonts w:ascii="Arial" w:hAnsi="Arial" w:eastAsia="Arial" w:cs="Arial"/>
                      <w:lang w:val="ru-RU"/>
                      <w:color w:val="120D21"/>
                      <w:sz w:val="18"/>
                      <w:szCs w:val="18"/>
                    </w:rPr>
                    <w:t xml:space="preserve">Решения 21 арбитражного апелляционного суда РФ, вынесенные в период с января 2008 года по настоящее время, т.е. наиболее свежие и актуальные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Практика судов общей юрисдикции</w:t>
                  </w:r>
                </w:p>
                <w:p>
                  <w:pPr>
                    <w:jc w:val="left"/>
                    <w:spacing w:before="0" w:after="0" w:line="276" w:lineRule="auto"/>
                  </w:pPr>
                  <w:r>
                    <w:rPr>
                      <w:rFonts w:ascii="Arial" w:hAnsi="Arial" w:eastAsia="Arial" w:cs="Arial"/>
                      <w:lang w:val="ru-RU"/>
                      <w:color w:val="120D21"/>
                      <w:sz w:val="18"/>
                      <w:szCs w:val="18"/>
                    </w:rPr>
                    <w:t xml:space="preserve">Блок содержит более 2 млн. актов судов общей юрисдикции регионов России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jc w:val="left"/>
                    <w:spacing w:before="0" w:after="0" w:line="276" w:lineRule="auto"/>
                  </w:pPr>
                  <w:r>
                    <w:rPr>
                      <w:rFonts w:ascii="Arial" w:hAnsi="Arial" w:eastAsia="Arial" w:cs="Arial"/>
                      <w:lang w:val="ru-RU"/>
                      <w:color w:val="120D21"/>
                      <w:sz w:val="18"/>
                      <w:szCs w:val="18"/>
                    </w:rPr>
                    <w:t xml:space="preserve">Материалы блока сгруппированы по постатейному принципу, где каждая статья представляет собой ряд четко сформулированных тезисов, подтверждаемых выдержками из судебных актов. Такой формат предоставления юридической информации позволит быстро и правильно справиться с поставленными задачами, точнее формировать свою позицию по спорным вопросам и проводить более тщательный анализ практических аспектов применения правовых норм.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jc w:val="left"/>
                    <w:spacing w:before="0" w:after="0" w:line="276" w:lineRule="auto"/>
                  </w:pPr>
                  <w:r>
                    <w:rPr>
                      <w:rFonts w:ascii="Arial" w:hAnsi="Arial" w:eastAsia="Arial" w:cs="Arial"/>
                      <w:lang w:val="ru-RU"/>
                      <w:color w:val="120D21"/>
                      <w:sz w:val="18"/>
                      <w:szCs w:val="18"/>
                    </w:rPr>
                    <w:t xml:space="preserve">Вы без дополнительных затрат получаете доступ к текстам всех судебных актов, на которые ссылаются авторы в своих рекомендациях. Это могут быть акты как высших судебных органов, так и нижестоящих инстанций.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Онлайн-архив практики мировых судей</w:t>
                  </w:r>
                </w:p>
                <w:p>
                  <w:pPr>
                    <w:jc w:val="left"/>
                    <w:spacing w:before="0" w:after="0" w:line="276" w:lineRule="auto"/>
                  </w:pPr>
                  <w:r>
                    <w:rPr>
                      <w:rFonts w:ascii="Arial" w:hAnsi="Arial" w:eastAsia="Arial" w:cs="Arial"/>
                      <w:lang w:val="ru-RU"/>
                      <w:color w:val="120D21"/>
                      <w:sz w:val="18"/>
                      <w:szCs w:val="18"/>
                    </w:rPr>
                    <w:t xml:space="preserve">Блок включает дела о нарушении ПДД, о расторжении брака, если между супругами отсутствует спор о детях,о разделе между супругами совместно нажитого имущества при цене иска, не превышающей 50 000 руб, по имущественным спорам, при цене иска, не превышающей 50 000 руб, уголовные дела о преступлениях, максимальное наказание по которым не превышает трех лет лишения свободы, другие.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Онлайн-архив определений арбитражных судов</w:t>
                  </w:r>
                </w:p>
                <w:p>
                  <w:pPr>
                    <w:jc w:val="left"/>
                    <w:spacing w:before="0" w:after="0" w:line="276" w:lineRule="auto"/>
                  </w:pPr>
                  <w:r>
                    <w:rPr>
                      <w:rFonts w:ascii="Arial" w:hAnsi="Arial" w:eastAsia="Arial" w:cs="Arial"/>
                      <w:lang w:val="ru-RU"/>
                      <w:color w:val="120D21"/>
                      <w:sz w:val="18"/>
                      <w:szCs w:val="18"/>
                    </w:rPr>
                    <w:t xml:space="preserve">«Практика арбитражных судов первой инстанции» содержит более 14 млн. документов судебной практики арбитражных судов республик, краев, областей, городов федерального значения, автономной области и автономных округов.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Консультационные материалы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библиотека юриста</w:t>
                  </w:r>
                </w:p>
                <w:p>
                  <w:pPr>
                    <w:jc w:val="left"/>
                    <w:spacing w:before="0" w:after="0" w:line="276" w:lineRule="auto"/>
                  </w:pPr>
                  <w:r>
                    <w:rPr>
                      <w:rFonts w:ascii="Arial" w:hAnsi="Arial" w:eastAsia="Arial" w:cs="Arial"/>
                      <w:lang w:val="ru-RU"/>
                      <w:color w:val="120D21"/>
                      <w:sz w:val="18"/>
                      <w:szCs w:val="18"/>
                    </w:rPr>
                    <w:t xml:space="preserve">Содержит тысячи консультаций для юристов: публикации из профильных СМИ, ответы на вопросы, книги. Здесь представлен широкий спектр авторитетных мнений по актуальным правовым темам, а также аналитических материалов по спорным вопросам действующего законодательства.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jc w:val="left"/>
                    <w:spacing w:before="0" w:after="0" w:line="276" w:lineRule="auto"/>
                  </w:pPr>
                  <w:r>
                    <w:rPr>
                      <w:rFonts w:ascii="Arial" w:hAnsi="Arial" w:eastAsia="Arial" w:cs="Arial"/>
                      <w:lang w:val="ru-RU"/>
                      <w:color w:val="120D21"/>
                      <w:sz w:val="18"/>
                      <w:szCs w:val="18"/>
                    </w:rPr>
                    <w:t xml:space="preserve">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шаблоны форм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Специализированные блоки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Формы правовых документов</w:t>
                  </w:r>
                </w:p>
                <w:p>
                  <w:pPr>
                    <w:jc w:val="left"/>
                    <w:spacing w:before="0" w:after="0" w:line="276" w:lineRule="auto"/>
                  </w:pPr>
                  <w:r>
                    <w:rPr>
                      <w:rFonts w:ascii="Arial" w:hAnsi="Arial" w:eastAsia="Arial" w:cs="Arial"/>
                      <w:lang w:val="ru-RU"/>
                      <w:color w:val="120D21"/>
                      <w:sz w:val="18"/>
                      <w:szCs w:val="18"/>
                    </w:rPr>
                    <w:t xml:space="preserve">Типовые бланки деловых бумаг, соответствующие действующему законодательству и требованиям современного делопроизводства, сопровождающие их нормативные документы, бизнес-справки.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Без дополнительной оплаты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ПРАЙМ</w:t>
                  </w:r>
                </w:p>
                <w:p>
                  <w:pPr>
                    <w:jc w:val="left"/>
                    <w:spacing w:before="0" w:after="0" w:line="276" w:lineRule="auto"/>
                  </w:pPr>
                  <w:r>
                    <w:rPr>
                      <w:rFonts w:ascii="Arial" w:hAnsi="Arial" w:eastAsia="Arial" w:cs="Arial"/>
                      <w:lang w:val="ru-RU"/>
                      <w:color w:val="120D21"/>
                      <w:sz w:val="18"/>
                      <w:szCs w:val="18"/>
                    </w:rPr>
                    <w:t xml:space="preserve">Благодаря этой услуге, пользователь ИПО ГАРАНТ всегда в курсе всех новостей, происходящих в интересующей его профессиональной области. Он не  пропустит ничего важного, при этом, благодаря точной подборке новостей и представления их в
виде аннотации, потратит на изучение этой информации минимум времени. Если профессиональные интересы пользователя  изменились, он легко может внести изменения в свою новостную ленту и уже со следующего дня начать получать новую ленту. При необходимости, он ожет
настроить несколько новостных лент.</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Архивы ГАРАНТа</w:t>
                  </w:r>
                </w:p>
                <w:p>
                  <w:pPr>
                    <w:jc w:val="left"/>
                    <w:spacing w:before="0" w:after="0" w:line="276" w:lineRule="auto"/>
                  </w:pPr>
                  <w:r>
                    <w:rPr>
                      <w:rFonts w:ascii="Arial" w:hAnsi="Arial" w:eastAsia="Arial" w:cs="Arial"/>
                      <w:lang w:val="ru-RU"/>
                      <w:color w:val="120D21"/>
                      <w:sz w:val="18"/>
                      <w:szCs w:val="18"/>
                    </w:rPr>
                    <w:t xml:space="preserve">Содержит узковедомственные отраслевые документы, редкие нормативные акты, организационные и индивидуальные нормативные акты.</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Большая домашняя правовая энциклопедия</w:t>
                  </w:r>
                </w:p>
                <w:p>
                  <w:pPr>
                    <w:jc w:val="left"/>
                    <w:spacing w:before="0" w:after="0" w:line="276" w:lineRule="auto"/>
                  </w:pPr>
                  <w:r>
                    <w:rPr>
                      <w:rFonts w:ascii="Arial" w:hAnsi="Arial" w:eastAsia="Arial" w:cs="Arial"/>
                      <w:lang w:val="ru-RU"/>
                      <w:color w:val="120D21"/>
                      <w:sz w:val="18"/>
                      <w:szCs w:val="18"/>
                    </w:rPr>
                    <w:t xml:space="preserve">Без дополнительных затрат Вы получаете блок, который включает в себя несколько составляющих. Это "Домашняя правовая энциклопедия", где разобраны основные правовые темы, с которыми может столкнуться любой гражданин нашей страны. А также уникальные вопросы-ответы экспертов службы Правового консалтинга ГАРАНТ и юристов интернет-портала Правовед.RU.</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База знаний службы правового консалтинга</w:t>
                  </w:r>
                </w:p>
                <w:p>
                  <w:pPr>
                    <w:jc w:val="left"/>
                    <w:spacing w:before="0" w:after="0" w:line="276" w:lineRule="auto"/>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Пакет Энциклопедий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Энциклопедии решений</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jc w:val="left"/>
                    <w:spacing w:before="0" w:after="0" w:line="276" w:lineRule="auto"/>
                  </w:pPr>
                  <w:r>
                    <w:rPr>
                      <w:rFonts w:ascii="Arial" w:hAnsi="Arial" w:eastAsia="Arial" w:cs="Arial"/>
                      <w:lang w:val="ru-RU"/>
                      <w:color w:val="120D21"/>
                      <w:sz w:val="18"/>
                      <w:szCs w:val="18"/>
                    </w:rPr>
                    <w:t xml:space="preserve">Контролирующие органы могут прийти в любую компанию и проверить, как уплачиваются налоги, соблюдаются ли требования трудового
законодательства, нет ли нарушений при осуществлении рекламы и др. Чтобы аргументированно отстоять свою позицию при общении с
проверяющими органами и защитить собственные права, пользователь может обратиться к материалам блока Энциклопедия решений.
Проверки организаций и предпринимателей. В данном блоке содержится вся необходимая информация по основным проверяющим органам;
рассматриваются вопросы, возникающие в ходе проведения проверок; имеется подробное описание правил поведения в конкретной ситуации;
представлены образцы документов, оформляемых при проведении проверок. Вся информация блока изложена простым и понятным языком,
всегда соответствует действующему законодательству и юридически обоснована.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Хозяйственные ситуации</w:t>
                  </w:r>
                </w:p>
                <w:p>
                  <w:pPr>
                    <w:jc w:val="left"/>
                    <w:spacing w:before="0" w:after="0" w:line="276" w:lineRule="auto"/>
                  </w:pPr>
                  <w:r>
                    <w:rPr>
                      <w:rFonts w:ascii="Arial" w:hAnsi="Arial" w:eastAsia="Arial" w:cs="Arial"/>
                      <w:lang w:val="ru-RU"/>
                      <w:color w:val="120D21"/>
                      <w:sz w:val="18"/>
                      <w:szCs w:val="18"/>
                    </w:rPr>
                    <w:t xml:space="preserve">Блок представляет собой практическую информацию по конкретным хозяйственным ситуациям: описание ситуации, регулирующие ее правовые нормы, необходимые формы документов, бухгалтерские проводки, позиция контролирующих органов и судебная практика. Все ситуации взяты из новейшей практики российского бизнеса. Особенностью данного блока являются интерактивные калькуляторы - приведенные в текстах энциклопедии формулы снабжены калькулятором, в котором можно рассчитать "на лету" результат с собственными данными.</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Госзакупки</w:t>
                  </w:r>
                </w:p>
                <w:p>
                  <w:pPr>
                    <w:jc w:val="left"/>
                    <w:spacing w:before="0" w:after="0" w:line="276" w:lineRule="auto"/>
                  </w:pPr>
                  <w:r>
                    <w:rPr>
                      <w:rFonts w:ascii="Arial" w:hAnsi="Arial" w:eastAsia="Arial" w:cs="Arial"/>
                      <w:lang w:val="ru-RU"/>
                      <w:color w:val="120D21"/>
                      <w:sz w:val="18"/>
                      <w:szCs w:val="18"/>
                    </w:rPr>
                    <w:t xml:space="preserve">На сегодняшний день закупки товаров, выполнение работ и оказание услуг для государственных нужд занимают значительный сектор российской
экономики. Компания «Гарант» предлагает информационный блок Энциклопедия решений. Государственные и корпоративные закупки,
содержащий ответы на основные вопросы, с которыми сталкиваются все участники закупочной деятельности на различных этапах проведения
торгов. Все материалы данного блока проверяются на соответствие действующему законодательству и регулярно дополняются новыми
документами, что является гарантией актуальности используемой информации и придает больше уверенности в принимаемых решениях.
Материалы содержат ссылки на необходимую информацию: нормативные документы, разъяснения государственных органов и комментарии
ведущих экспертов по вопросам размещения заказов, обзоры судебной и административной практики, практики рассмотрения Федеральной
антимонопольной службой жалоб на действия заказчиков и операторов электронных площадок, а также примерные формы документов,
подлежащих обязательному оформлению при проведении процедуры размещения заказов</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Трудовые отношения, кадры</w:t>
                  </w:r>
                </w:p>
                <w:p>
                  <w:pPr>
                    <w:jc w:val="left"/>
                    <w:spacing w:before="0" w:after="0" w:line="276" w:lineRule="auto"/>
                  </w:pPr>
                  <w:r>
                    <w:rPr>
                      <w:rFonts w:ascii="Arial" w:hAnsi="Arial" w:eastAsia="Arial" w:cs="Arial"/>
                      <w:lang w:val="ru-RU"/>
                      <w:color w:val="120D21"/>
                      <w:sz w:val="18"/>
                      <w:szCs w:val="18"/>
                    </w:rPr>
                    <w:t xml:space="preserve">Представляетсобой набор аналитических авторских материалов. Это не только систематизированное изложение правовых норм, но и практические
комментарии. Опыт экспертов службы Правового консалтинга ГАРАНТ позволил разработчикам блока выявить самые распространенные и
актуальные вопросы, возникающие у специалистов, работающих с трудовыми ресурсами и подготовить ответы на них. Все
представленные выводы всегда сопровождаются обоснованием, содержащим ссылки на нормативные правовые акты, разъяснительные
письма чиновников, судебную практику. По гипертекстовым ссылкам в тексте пользователь может быстро перейти к этим документам.</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Налоги и взносы</w:t>
                  </w:r>
                </w:p>
                <w:p>
                  <w:pPr>
                    <w:jc w:val="left"/>
                    <w:spacing w:before="0" w:after="0" w:line="276" w:lineRule="auto"/>
                  </w:pPr>
                  <w:r>
                    <w:rPr>
                      <w:rFonts w:ascii="Arial" w:hAnsi="Arial" w:eastAsia="Arial" w:cs="Arial"/>
                      <w:lang w:val="ru-RU"/>
                      <w:color w:val="120D21"/>
                      <w:sz w:val="18"/>
                      <w:szCs w:val="18"/>
                    </w:rPr>
                    <w:t xml:space="preserve">Представляет собой набор актуальных аналитических статей, в каждой из которых
рассмотрен отдельный вопрос налогообложения. Все статьи подготовлены авторским коллективом экспертов компании «Гарант».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консультации из
Базы знаний службы Правового консалтинга ГАРАНТ, иллюстрирующие применение конкретных норм, а также примеры заполнения форм
документов. Перейти к этим дополнительным материалам можно из меню в правой части окна.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Договоры и иные сделки</w:t>
                  </w:r>
                </w:p>
                <w:p>
                  <w:pPr>
                    <w:jc w:val="left"/>
                    <w:spacing w:before="0" w:after="0" w:line="276" w:lineRule="auto"/>
                  </w:pPr>
                  <w:r>
                    <w:rPr>
                      <w:rFonts w:ascii="Arial" w:hAnsi="Arial" w:eastAsia="Arial" w:cs="Arial"/>
                      <w:lang w:val="ru-RU"/>
                      <w:color w:val="120D21"/>
                      <w:sz w:val="18"/>
                      <w:szCs w:val="18"/>
                    </w:rPr>
                    <w:t xml:space="preserve">Используя в работе материалы блока Энциклопедия решений. Договоры и иные сделки, Вы всегда будете знать, какие
тонкости необходимо учитывать при выборе модели договорных правоотношений, на что следует обратить особое внимание при
составлении текста договора. В блоке содержатся только актуальные и проверенные материалы о часто используемых гражданско-
правовых договорах, применяемых как в предпринимательской деятельности, так и в отношениях между гражданами; рассматриваются
особенности различных их видов; освещаются проблемы, связанные с исполнением этих договоров и предлагаются пути их решения,
приводятся практические рекомендации. Здесь же можно найти и актуальные формы всех представленных в блоке договоров, а также
сопутствующих им документов (актов, уведомлений, претензий и т.д.).</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Энциклопедия решений. Корпоративное право</w:t>
                  </w:r>
                </w:p>
                <w:p>
                  <w:pPr>
                    <w:jc w:val="left"/>
                    <w:spacing w:before="0" w:after="0" w:line="276" w:lineRule="auto"/>
                  </w:pPr>
                  <w:r>
                    <w:rPr>
                      <w:rFonts w:ascii="Arial" w:hAnsi="Arial" w:eastAsia="Arial" w:cs="Arial"/>
                      <w:lang w:val="ru-RU"/>
                      <w:color w:val="120D21"/>
                      <w:sz w:val="18"/>
                      <w:szCs w:val="18"/>
                    </w:rPr>
                    <w:t xml:space="preserve">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Представлен в удобном формате, позволяющем не только получить краткий и
актуальный ответ на интересующий вопрос, но и перейти к изучению смежных тем, чтобы
сформировать целостное представление по рассматриваемой проблеме.</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center"/>
                    <w:spacing w:before="0" w:after="1" w:line="360" w:lineRule="auto"/>
                  </w:pPr>
                  <w:r>
                    <w:rPr>
                      <w:rFonts w:ascii="Arial" w:hAnsi="Arial" w:eastAsia="Arial" w:cs="Arial"/>
                      <w:lang w:val="ru-RU"/>
                      <w:color w:val="120D21"/>
                      <w:sz w:val="20"/>
                      <w:szCs w:val="20"/>
                      <w:b w:val="1"/>
                      <w:bCs w:val="1"/>
                    </w:rPr>
                    <w:t xml:space="preserve">Правовая Поддержка</w:t>
                  </w:r>
                </w:p>
              </w:tc>
            </w:tr>
          </w:tbl>
          <w:p/>
        </w:tc>
      </w:tr>
      <w:tr>
        <w:trPr/>
        <w:tc>
          <w:tcPr>
            <w:tcW w:w="10700" w:type="dxa"/>
            <w:tcBorders>
              <w:top w:val="single" w:sz="4" w:color="000000"/>
              <w:left w:val="single" w:sz="4" w:color="000000"/>
              <w:right w:val="single" w:sz="4" w:color="000000"/>
              <w:bottom w:val="single" w:sz="4" w:color="000000"/>
            </w:tcBorders>
          </w:tcPr>
          <w:tbl>
            <w:tblGrid>
              <w:gridCol w:w="1070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070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Горячая
линия</w:t>
                  </w:r>
                </w:p>
                <w:p>
                  <w:pPr>
                    <w:jc w:val="left"/>
                    <w:spacing w:before="0" w:after="0" w:line="276" w:lineRule="auto"/>
                  </w:pPr>
                  <w:r>
                    <w:rPr>
                      <w:rFonts w:ascii="Arial" w:hAnsi="Arial" w:eastAsia="Arial" w:cs="Arial"/>
                      <w:lang w:val="ru-RU"/>
                      <w:color w:val="120D21"/>
                      <w:sz w:val="18"/>
                      <w:szCs w:val="18"/>
                    </w:rPr>
                    <w:t xml:space="preserve">В рамках Горячей линии информационно-правовой поддержки пользователям предлагается:
Помощь в формировании подборки материалов системы ГАРАНТ, которые могут применяться в ситуации, описанной в вопросе;
Помощь в розыске отсутствующего в системе ГАРАНТ документа и предоставление документов, не входящих в комплект пользователя;
Ответы на вопросы о статусе (действии) документа.</w:t>
                  </w:r>
                </w:p>
              </w:tc>
            </w:tr>
          </w:tbl>
          <w:p/>
        </w:tc>
      </w:tr>
    </w:tbl>
    <w:p>
      <w:r>
        <w:br w:type="page"/>
      </w:r>
    </w:p>
    <w:p>
      <w:pPr/>
      <w:r>
        <w:rPr>
          <w:rFonts w:ascii="Arial" w:hAnsi="Arial" w:eastAsia="Arial" w:cs="Arial"/>
          <w:lang w:val="ru-RU"/>
          <w:color w:val="120D21"/>
          <w:sz w:val="28"/>
          <w:szCs w:val="28"/>
          <w:b w:val="1"/>
          <w:bCs w:val="1"/>
        </w:rPr>
        <w:t xml:space="preserve">Нормативно-правовые акты</w:t>
      </w:r>
    </w:p>
    <w:p/>
    <w:p>
      <w:pPr/>
      <w:r>
        <w:rPr>
          <w:rFonts w:ascii="Arial" w:hAnsi="Arial" w:eastAsia="Arial" w:cs="Arial"/>
          <w:lang w:val="ru-RU"/>
          <w:color w:val="120D21"/>
          <w:sz w:val="20"/>
          <w:szCs w:val="20"/>
          <w:b w:val="1"/>
          <w:bCs w:val="1"/>
        </w:rPr>
        <w:t xml:space="preserve">Законодательство России</w:t>
      </w:r>
    </w:p>
    <w:p>
      <w:pPr/>
      <w:r>
        <w:rPr>
          <w:rFonts w:ascii="Arial" w:hAnsi="Arial" w:eastAsia="Arial" w:cs="Arial"/>
          <w:lang w:val="ru-RU"/>
          <w:color w:val="120D21"/>
          <w:sz w:val="18"/>
          <w:szCs w:val="18"/>
        </w:rPr>
        <w:t xml:space="preserve">Информационный банк содержит документы федерального уровня регулирования по основным отраслям права: гражданские отношения, налогообложение, бухучет, предпринимательство, собственность, валютное регулирование, трудовые отношения, социальная защита и другие. Включает все кодексы и федеральные законы. Кроме нормативных документов, в блок включены судебная и арбитражная практика, формы правовых документов, производственный календарь и другие бизнес-справки. В блок включены обновляемые интерактивные путеводители по общему плану счетов, кадровому делу и охране труда.</w:t>
      </w:r>
    </w:p>
    <w:p/>
    <w:p>
      <w:pPr/>
      <w:r>
        <w:rPr>
          <w:rFonts w:ascii="Arial" w:hAnsi="Arial" w:eastAsia="Arial" w:cs="Arial"/>
          <w:lang w:val="ru-RU"/>
          <w:color w:val="120D21"/>
          <w:sz w:val="20"/>
          <w:szCs w:val="20"/>
          <w:b w:val="1"/>
          <w:bCs w:val="1"/>
        </w:rPr>
        <w:t xml:space="preserve">Региональное законодательство</w:t>
      </w:r>
    </w:p>
    <w:p>
      <w:pPr/>
      <w:r>
        <w:rPr>
          <w:rFonts w:ascii="Arial" w:hAnsi="Arial" w:eastAsia="Arial" w:cs="Arial"/>
          <w:lang w:val="ru-RU"/>
          <w:color w:val="120D21"/>
          <w:sz w:val="18"/>
          <w:szCs w:val="18"/>
        </w:rPr>
        <w:t xml:space="preserve">Основные правовые акты вашего региона - необходимая информация для каждого специалиста, работающего с правовой информацией. Кодексы, законы, указы, постановления, приказы, разъяснительные письма и другие документы именно вашего региона.</w:t>
      </w:r>
    </w:p>
    <w:p/>
    <w:p>
      <w:pPr/>
      <w:r>
        <w:rPr>
          <w:rFonts w:ascii="Arial" w:hAnsi="Arial" w:eastAsia="Arial" w:cs="Arial"/>
          <w:lang w:val="ru-RU"/>
          <w:color w:val="120D21"/>
          <w:sz w:val="20"/>
          <w:szCs w:val="20"/>
          <w:b w:val="1"/>
          <w:bCs w:val="1"/>
        </w:rPr>
        <w:t xml:space="preserve">Отраслевое законодательство России</w:t>
      </w:r>
    </w:p>
    <w:p>
      <w:pPr/>
      <w:r>
        <w:rPr>
          <w:rFonts w:ascii="Arial" w:hAnsi="Arial" w:eastAsia="Arial" w:cs="Arial"/>
          <w:lang w:val="ru-RU"/>
          <w:color w:val="120D21"/>
          <w:sz w:val="18"/>
          <w:szCs w:val="18"/>
        </w:rPr>
        <w:t xml:space="preserve">Информационный блок, объединивший в себе документы различных отраслевых тематик, полезен всем, чья сфера интересов связана с таможенными, земельными правоотношениями, банковской, правоохранительной, правозащитной, строительной и другими видами деятельности.
Таможенное законодательство
Необходимая информация для тех, чья сфера деятельности связана с таможенными правоотношениями, ВЭД, валютным контролем. Документы, регламентирующие вопросы внешнеэкономической деятельности, в том числе документы ФТС России, полный текст ТН ВЭД СНГ; судебная и арбитражная практика; международные договоры, действующие в рамках ЕврАзЭс, Таможенный кодекс Таможенного союза; классификационные решения ФТС России; формы таможенных деклараций. Бизнес-справки, в том числе реестр банков, гарантии которых принимаются таможенными органами.
Банковское законодательство
Для профессионалов, связанных с банковской деятельностью. Документы ЦБ РФ, международные, ведомственные документы, судебная и арбитражная практика, формы отчетности, справочник БИК РФ, курсы валют, процентные ставки по операциям Банка России, в том числе ставка рефинансирования, а также другие бизнес-справки.
Жилищное право
Информация подобрана специально для тех, чья сфера интересов связана с риелторской деятельностью, страхованием недвижимости, приватизацией жилья, ЖКХ. Нормативные документы по жилищному законодательству, представлению коммунальных услуг, приватизации, аренде, ипотечному кредитованию и другим вопросам. Также здесь содержатся судебная и арбитражная практика, формы документов для оформления всех видов сделок с недвижимостью.
Законодательство по землепользованию, недропользованию, природоохране
Для специалистов, интересующихся земельными правоотношениями, разработкой и использованием недр, водных и лесных ресурсов, атмосферного воздуха, охраной окружающей среды и обеспечением экологической безопасности, ведением и развитием сельского хозяйства, садоводства, огородничества, дачного хозяйства, контролем и надзором в сфере ветеринарии. Нормативные акты отраслевых министерств и ведомств, судебная и арбитражная практика по спорам об использовании земли, водных объектов, природной среды и природных ресурсов, формы необходимых документов, международные договоры в сфере защиты окружающей среды, экологического сотрудничества и другие.
Уголовное и административное право
Необходимая информация для специалистов, так или иначе связанных с правоохранительной и правозащитной деятельностью. Нормативные акты и судебная практика по уголовному, уголовно-процессуальному, административному, уголовно-исполнительному законодательству и законодательству о правоохранительных органах и оперативно-розыскной деятельности, а также формы процессуальных документов.
Медицинское законодательство
Специалистам, решающим правовые задачи в сфере здравоохранения. Документы по финансированию и организации здравоохранения, медицинскому страхованию, лицензированию, контролю экспертизы и качества лекарственных средств, стандартам оказания медицинской помощи, правовому регулированию предоставления платных медицинских услуг. Формы отчетной и учетной медицинской документации, особенности налогообложения, льготного обеспечения в медицинских организациях и кадровая работа.
Законодательство о строительстве
Необходимая информация для специалистов, работающих в области строительства. Федеральное и региональное законодательство в области строительства, рекомендации специалистов министерств и ведомств, судебная и арбитражная практика, международные соглашения, формы документов и необходимая справочная информация.</w:t>
      </w:r>
    </w:p>
    <w:p/>
    <w:p>
      <w:pPr/>
      <w:r>
        <w:rPr>
          <w:rFonts w:ascii="Arial" w:hAnsi="Arial" w:eastAsia="Arial" w:cs="Arial"/>
          <w:lang w:val="ru-RU"/>
          <w:color w:val="120D21"/>
          <w:sz w:val="28"/>
          <w:szCs w:val="28"/>
          <w:b w:val="1"/>
          <w:bCs w:val="1"/>
        </w:rPr>
        <w:t xml:space="preserve">Судебная практика</w:t>
      </w:r>
    </w:p>
    <w:p/>
    <w:p>
      <w:pPr/>
      <w:r>
        <w:rPr>
          <w:rFonts w:ascii="Arial" w:hAnsi="Arial" w:eastAsia="Arial" w:cs="Arial"/>
          <w:lang w:val="ru-RU"/>
          <w:color w:val="120D21"/>
          <w:sz w:val="20"/>
          <w:szCs w:val="20"/>
          <w:b w:val="1"/>
          <w:bCs w:val="1"/>
        </w:rPr>
        <w:t xml:space="preserve">Практика высших судебных органов</w:t>
      </w:r>
    </w:p>
    <w:p>
      <w:pPr/>
      <w:r>
        <w:rPr>
          <w:rFonts w:ascii="Arial" w:hAnsi="Arial" w:eastAsia="Arial" w:cs="Arial"/>
          <w:lang w:val="ru-RU"/>
          <w:color w:val="120D21"/>
          <w:sz w:val="18"/>
          <w:szCs w:val="18"/>
        </w:rPr>
        <w:t xml:space="preserve">Полный комплекс информации для предупреждения и разрешения споров: арбитражная и судебная практика высших судебных органов РФ. Наиболее полная подборка решений КС РФ, ВАС РФ, ВС РФ . Адреса и телефоны судов РФ и высших судебных органов стран ближнего зарубежья.</w:t>
      </w:r>
    </w:p>
    <w:p/>
    <w:p>
      <w:pPr/>
      <w:r>
        <w:rPr>
          <w:rFonts w:ascii="Arial" w:hAnsi="Arial" w:eastAsia="Arial" w:cs="Arial"/>
          <w:lang w:val="ru-RU"/>
          <w:color w:val="120D21"/>
          <w:sz w:val="20"/>
          <w:szCs w:val="20"/>
          <w:b w:val="1"/>
          <w:bCs w:val="1"/>
        </w:rPr>
        <w:t xml:space="preserve">Практика арбитражных судов округов</w:t>
      </w:r>
    </w:p>
    <w:p>
      <w:pPr/>
      <w:r>
        <w:rPr>
          <w:rFonts w:ascii="Arial" w:hAnsi="Arial" w:eastAsia="Arial" w:cs="Arial"/>
          <w:lang w:val="ru-RU"/>
          <w:color w:val="120D21"/>
          <w:sz w:val="18"/>
          <w:szCs w:val="18"/>
        </w:rPr>
        <w:t xml:space="preserve">Блок включает в себя практику всех 10 арбитражных судов округов - постановления, определения и обзоры практики суда по применению нормативных актов.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арбитражных апелляционных судов округов</w:t>
      </w:r>
    </w:p>
    <w:p>
      <w:pPr/>
      <w:r>
        <w:rPr>
          <w:rFonts w:ascii="Arial" w:hAnsi="Arial" w:eastAsia="Arial" w:cs="Arial"/>
          <w:lang w:val="ru-RU"/>
          <w:color w:val="120D21"/>
          <w:sz w:val="18"/>
          <w:szCs w:val="18"/>
        </w:rPr>
        <w:t xml:space="preserve">Блок включает в себя практику всех 10 судебных округов в которых функционирует 21 арбитражный апелляционный суд. 
Представлены информационные блоки следующих округов:
Волго-Вятский округ
Восточно-Сибирский округ
Дальневосточный округ
Западно-Сибирский округ
Московский округ
Поволжский округ
Северо-Западный округ
Северо-Кавказский округ
Уральский округ
Центральный округ</w:t>
      </w:r>
    </w:p>
    <w:p/>
    <w:p>
      <w:pPr/>
      <w:r>
        <w:rPr>
          <w:rFonts w:ascii="Arial" w:hAnsi="Arial" w:eastAsia="Arial" w:cs="Arial"/>
          <w:lang w:val="ru-RU"/>
          <w:color w:val="120D21"/>
          <w:sz w:val="20"/>
          <w:szCs w:val="20"/>
          <w:b w:val="1"/>
          <w:bCs w:val="1"/>
        </w:rPr>
        <w:t xml:space="preserve">Практика судов общей юрисдикции</w:t>
      </w:r>
    </w:p>
    <w:p>
      <w:pPr/>
      <w:r>
        <w:rPr>
          <w:rFonts w:ascii="Arial" w:hAnsi="Arial" w:eastAsia="Arial" w:cs="Arial"/>
          <w:lang w:val="ru-RU"/>
          <w:color w:val="120D21"/>
          <w:sz w:val="18"/>
          <w:szCs w:val="18"/>
        </w:rPr>
        <w:t xml:space="preserve">Блок объединяет в себя практику судов общей юрисдикции из 85 регионов РФ. В рамках одного блока пользователь получает всю практику таких судебных органов как:
верховные суды республик,
краевые и областные суды,
суды городов федерального значения,
суды автономной области и автономных округов,
отдельные районные суды и мировые судьи.</w:t>
      </w:r>
    </w:p>
    <w:p/>
    <w:p>
      <w:pPr/>
      <w:r>
        <w:rPr>
          <w:rFonts w:ascii="Arial" w:hAnsi="Arial" w:eastAsia="Arial" w:cs="Arial"/>
          <w:lang w:val="ru-RU"/>
          <w:color w:val="120D21"/>
          <w:sz w:val="20"/>
          <w:szCs w:val="20"/>
          <w:b w:val="1"/>
          <w:bCs w:val="1"/>
        </w:rPr>
        <w:t xml:space="preserve">Энциклопедия судебной практики. Правовые позиции судов</w:t>
      </w:r>
    </w:p>
    <w:p>
      <w:pPr/>
      <w:r>
        <w:rPr>
          <w:rFonts w:ascii="Arial" w:hAnsi="Arial" w:eastAsia="Arial" w:cs="Arial"/>
          <w:lang w:val="ru-RU"/>
          <w:color w:val="120D21"/>
          <w:sz w:val="18"/>
          <w:szCs w:val="18"/>
        </w:rPr>
        <w:t xml:space="preserve">В блоке каждый документ посвящен конкретной норме права, и предлагает пользователям возможность быстро знакомиться с мнениями судов по рассматриваемому вопросу. Все материалы снабжены краткими выводами, которые были сформулированы опытными экспертами компании "Гарант", а также содержат правовые позиции судов по аналогичной ситуации. Блок позволяет быстро "ухватить" суть изучаемого вопроса и оперативно обращаться к заинтересовавшему судебному акту.
Энциклопедия включает в себя структурированные постатейные аннотации решений судов по наиболее востребованным пользователями темам и нормативным актам, среди которых:
- Гражданский кодекс РФ;
- Налоговый кодекс РФ;
- Трудовой кодекс РФ;
- Земельный кодекс;
- Закон "Об акционерных обществах";
- Закон "Об обществах с ограниченной ответственностью";
- Закон "О защите прав потребителей";
- Закон о страховых взносах во внебюджетные фонды;
- Закон об обязательном страховании от несчастных случаев и другие.</w:t>
      </w:r>
    </w:p>
    <w:p/>
    <w:p>
      <w:pPr/>
      <w:r>
        <w:rPr>
          <w:rFonts w:ascii="Arial" w:hAnsi="Arial" w:eastAsia="Arial" w:cs="Arial"/>
          <w:lang w:val="ru-RU"/>
          <w:color w:val="120D21"/>
          <w:sz w:val="20"/>
          <w:szCs w:val="20"/>
          <w:b w:val="1"/>
          <w:bCs w:val="1"/>
        </w:rPr>
        <w:t xml:space="preserve">Судебная практика: приложение к консультационным блокам</w:t>
      </w:r>
    </w:p>
    <w:p>
      <w:pPr/>
      <w:r>
        <w:rPr>
          <w:rFonts w:ascii="Arial" w:hAnsi="Arial" w:eastAsia="Arial" w:cs="Arial"/>
          <w:lang w:val="ru-RU"/>
          <w:color w:val="120D21"/>
          <w:sz w:val="18"/>
          <w:szCs w:val="18"/>
        </w:rPr>
        <w:t xml:space="preserve">Все экспертные заключения в блоке представлены в удобной форме вопросов и ответов. Изучая их, можно понять, какие сложности возникают у других организаций в их рабочей практике. Это позволит сориентироваться в текущей ситуации, проанализировать ее с разных точек зрения и предусмотреть все возможные последствия принятого решения.</w:t>
      </w:r>
    </w:p>
    <w:p/>
    <w:p>
      <w:pPr/>
      <w:r>
        <w:rPr>
          <w:rFonts w:ascii="Arial" w:hAnsi="Arial" w:eastAsia="Arial" w:cs="Arial"/>
          <w:lang w:val="ru-RU"/>
          <w:color w:val="120D21"/>
          <w:sz w:val="20"/>
          <w:szCs w:val="20"/>
          <w:b w:val="1"/>
          <w:bCs w:val="1"/>
        </w:rPr>
        <w:t xml:space="preserve">Онлайн-архив практики мировых судей</w:t>
      </w:r>
    </w:p>
    <w:p>
      <w:pPr/>
      <w:r>
        <w:rPr>
          <w:rFonts w:ascii="Arial" w:hAnsi="Arial" w:eastAsia="Arial" w:cs="Arial"/>
          <w:lang w:val="ru-RU"/>
          <w:color w:val="120D21"/>
          <w:sz w:val="18"/>
          <w:szCs w:val="18"/>
        </w:rPr>
        <w:t xml:space="preserve">Блок включает практику мировых судей. Мировой судья рассматривает в первой инстанции дела: • подсудные ему уголовные дела о преступлениях, за совершение которых максимальное наказание не превышает трех лет лишения свободы; • о выдаче судебного приказа; • о расторжении брака, если между супругами отсутствует спор о детях; • о разделе между супругами совместно нажитого имущества при цене иска, не превышающей 50 000 руб.; • иные возникающие из семейно-правовых отношений дела, за исключением дел об оспаривании отцовства (материнства), об установлении отцовства, о лишении или ограничении родительских прав, об усыновлении (удочерении) ребенка, других дел по спорам о детях и дел о признании брака недействительным; • по имущественным спорам, за исключением дел о наследовании имущества и дел, возникающих из отношений по созданию и использованию результатов интеллектуальной деятельности, при цене иска, не превышающей 50 000 руб.; • об определении порядка пользования имуществом; • об административных правонарушениях, отнесенные к компетенции мирового судьи; • иные дела, отнесенные к их подсудности федеральными законами. • Мировой судья рассматривает также дела по вновь открывшимся обстоятельствам в отношении решений, принятых им в первой инстанции и вступивших в законную силу.</w:t>
      </w:r>
    </w:p>
    <w:p/>
    <w:p>
      <w:pPr/>
      <w:r>
        <w:rPr>
          <w:rFonts w:ascii="Arial" w:hAnsi="Arial" w:eastAsia="Arial" w:cs="Arial"/>
          <w:lang w:val="ru-RU"/>
          <w:color w:val="120D21"/>
          <w:sz w:val="20"/>
          <w:szCs w:val="20"/>
          <w:b w:val="1"/>
          <w:bCs w:val="1"/>
        </w:rPr>
        <w:t xml:space="preserve">Онлайн-архив определений арбитражных судов</w:t>
      </w:r>
    </w:p>
    <w:p>
      <w:pPr/>
      <w:r>
        <w:rPr>
          <w:rFonts w:ascii="Arial" w:hAnsi="Arial" w:eastAsia="Arial" w:cs="Arial"/>
          <w:lang w:val="ru-RU"/>
          <w:color w:val="120D21"/>
          <w:sz w:val="18"/>
          <w:szCs w:val="18"/>
        </w:rPr>
        <w:t xml:space="preserve">Архив содержит определения, выносимые арбитражными судами первой, апелляционной и кассационной инстанций по вопросам, требующим решения в ходе судебного разбирательства и в других случаях, предусмотренных Арбитражным процессуальным кодексом РФ.
Предоставляется в качестве дополнительного приложения к блокам "Практика высших судебных органов", "Практика арбитражных судов округов", "Практика арбитражных апелляционных судов округов".</w:t>
      </w:r>
    </w:p>
    <w:p/>
    <w:p>
      <w:pPr/>
      <w:r>
        <w:rPr>
          <w:rFonts w:ascii="Arial" w:hAnsi="Arial" w:eastAsia="Arial" w:cs="Arial"/>
          <w:lang w:val="ru-RU"/>
          <w:color w:val="120D21"/>
          <w:sz w:val="28"/>
          <w:szCs w:val="28"/>
          <w:b w:val="1"/>
          <w:bCs w:val="1"/>
        </w:rPr>
        <w:t xml:space="preserve">Консультационные материалы</w:t>
      </w:r>
    </w:p>
    <w:p/>
    <w:p>
      <w:pPr/>
      <w:r>
        <w:rPr>
          <w:rFonts w:ascii="Arial" w:hAnsi="Arial" w:eastAsia="Arial" w:cs="Arial"/>
          <w:lang w:val="ru-RU"/>
          <w:color w:val="120D21"/>
          <w:sz w:val="20"/>
          <w:szCs w:val="20"/>
          <w:b w:val="1"/>
          <w:bCs w:val="1"/>
        </w:rPr>
        <w:t xml:space="preserve">Большая библиотека юриста</w:t>
      </w:r>
    </w:p>
    <w:p>
      <w:pPr/>
      <w:r>
        <w:rPr>
          <w:rFonts w:ascii="Arial" w:hAnsi="Arial" w:eastAsia="Arial" w:cs="Arial"/>
          <w:lang w:val="ru-RU"/>
          <w:color w:val="120D21"/>
          <w:sz w:val="18"/>
          <w:szCs w:val="18"/>
        </w:rPr>
        <w:t xml:space="preserve">Информационный блок содержит тысячи консультаций для юристов: публикации из профильных СМИ, ответы на вопросы, книги. Широкий спектр авторитетных мнений по актуальным правовым темам, аналитических материалов по спорным вопросам действующего законодательства. В блок включены также труды классиков российской правовой науки XIX-XX веков.
Комментарии к основополагающим документам по всем разделам российского законодательства (Конституция, ГК, УК, ТК РФ и др.), труды ведущих юристов, часто авторов законов, по вопросам толкования и применения различных норм права, отдельные статьи различных специалистов по актуальным проблемам права.
В информационный блок "Большая библиотека юриста" регулярно подключаются статьи из периодических изданий по праву, например:
Журнал "Административное право"
Журнал "Актуальные проблемы российского права"
Журнал "Библиотечка "Российской газеты"
Журнал "Вестник Пермского университета. Юридические науки"
Журнал "Вестник Омской юридической академии"
Журнал "Вестник экономического правосудия"
Журнал "Жилищное право"
Журнал "Журнал зарубежного законодательства и сравнительного правоведения"
Журнал "Журнал предпринимательского и корпоративного права"
Журнал "Журнал российского права"
Журнал "Журнал Суда по интеллектуальным правам"
Журнал "Закон"
Журнал "Законность"
Журнал "Законодательство"
Журнал "Законы России: опыт, анализ, практика"
Журнал "Имущественные отношения в Российской Федерации"
Журнал "Интеллектуальная собственность. Авторское право и смежные права"
Журнал "Интеллектуальная собственность. Промышленная собственность"
Газета "Новая адвокатская газета"
Журнал "Образование и право"
Журнал "Право. Журнал Высшей школы экономики
Журнал "Право и экономика"
Журнал "Российский юридический журнал"
Журнал "Российское право: образование, практика, наука"
Журнал "Судья"
Журнал "Трудовое право"
Журнал "Труды Академии управления МВД России"
Газета "ЭЖ-Юрист"
Журнал "Экономика и право. XXI век"
Журнал "Lex russica"
Журнал "KUTAFIN LAW REVIEW"
Книги, статьи из юридических СМИ и труды классиков правовой науки XIX - XX веков из серии "Классика российского правового наследия".</w:t>
      </w:r>
    </w:p>
    <w:p/>
    <w:p>
      <w:pPr/>
      <w:r>
        <w:rPr>
          <w:rFonts w:ascii="Arial" w:hAnsi="Arial" w:eastAsia="Arial" w:cs="Arial"/>
          <w:lang w:val="ru-RU"/>
          <w:color w:val="120D21"/>
          <w:sz w:val="20"/>
          <w:szCs w:val="20"/>
          <w:b w:val="1"/>
          <w:bCs w:val="1"/>
        </w:rPr>
        <w:t xml:space="preserve">Большая библиотека бухгалтера и кадрового работника</w:t>
      </w:r>
    </w:p>
    <w:p>
      <w:pPr/>
      <w:r>
        <w:rPr>
          <w:rFonts w:ascii="Arial" w:hAnsi="Arial" w:eastAsia="Arial" w:cs="Arial"/>
          <w:lang w:val="ru-RU"/>
          <w:color w:val="120D21"/>
          <w:sz w:val="18"/>
          <w:szCs w:val="18"/>
        </w:rPr>
        <w:t xml:space="preserve">Библиотека книг и периодики для бухгалтера и кадровика. Бухгалтерский и кадровый учет, оформление новых сотрудников, первичных документов, кассовые операции, начисление зарплаты, больничные листы и многое другое. Книги, статьи, ответы на вопросы, практические решения.
В информационном блоке "Большая библиотека бухгалтера и кадрового работника" представлены статьи, комментарии, разъяснения, методические материалы, ответы специалистов профильных министерств, опубликованные в более чем восьмидесяти периодических изданиях для бухгалтеров и кадровиков. В блоке содержатся более 22 тысяч примеров бухгалтерских проводок.
В блок включены интерактивные путеводители по общему плану счетов, бюджетному учёту в казённых учреждениях и органах власти, бухгалтерскому учёту в бюджетных учреждениях, в автономных учреждениях, кадровому делу.
Журнал "Автономные учреждения: акты и комментарии"
Журнал "Автономные учреждения: бухучет и налогообложение"
Журнал "Актуальная бухгалтерия"
Журнал "Актуальные вопросы учета и налогообложения"
Журнал "Акты и комментарии для бухгалтера"
Журнал "Аптека: бухгалтерский учет и налогообложение"
Журнал "АУДИТОР" Журнал "Банковское обозрение"
Журнал "БДМ. Банки и деловой мир"
Журнал "БУХ.1С"
Журнал "Бухгалтерский учет в бюджетных и некоммерческих организациях"
Журнал "Бухгалтер и закон"
Журнал "Бухгалтерский учет"
Журнал "Бухгалтерский учет в издательстве и полиграфии"
Журнал "Бухгалтерия и банки"
Журнал "Бухгалтер Крыма"
Журнал "Бюджет"
Журнал "Бюджетные организации: акты и комментарии для бухгалтера"
Журнал "Бюджетные организации: бухгалтерский учет и налогообложение"
Журнал "Учреждения здравоохранения: бухгалтерский учет и налогообложение"
Журнал "Учреждения образования: бухгалтерский учет и налогообложение"
Журнал "Ревизии и проверки финансово-хозяйственной деятельности государственных (муниципальных) учреждений"
Журнал "Вестник профессиональных бухгалтеров"
Журнал "Все для бухгалтера"
Журнал "Делопроизводство"
Журнал "Жилищно-коммунальное хозяйство: бухгалтерский учет и налогообложение"
Журнал "Кадровая служба и управление персоналом предприятия"
Журнал "Казенные учреждения: акты и комментарии"
Журнал "Казенные учреждения: бухгалтерский учет и налогообложение"
Журнал "Малая бухгалтерия"
Журнал "Международный бухгалтерский учет"
Журнал "Микрофинанс+"
Журнал "Международные банковские операции"
Журнал "МСФО и МСА в кредитной организации"
Журнал "Налог на прибыль: учет доходов и расходов"
Журнал "Налоги и финансовое право"
Журнал "Налоговая политика и практика"
Журнал "Налоговый вестник"
Журнал "Налоговый учет для бухгалтера"
Журнал "НДС: проблемы и решения"
Журнал "Новая бухгалтерия"
Журнал "Нормативные акты для бухгалтера"
Журнал "Охрана и экономика труда"
Журнал "Оплата труда: акты и комментарии для бухгалтера"
Журнал "Оплата труда: бухгалтерский учет и налогообложение"
Журнал "Оплата труда в государственном (муниципальном) учреждении: акты и комментарии для бухгалтера"
Журнал "Оплата труда в государственном (муниципальном) учреждении: бухгалтерий учет и налогообложение"
Журнал "Отдел кадров государственного (муниципального) учреждения"
Журнал "Практическая бухгалтерия"
Журнал "Практический бухгалтерский учет"
Журнал "Практический бухгалтерский учет. Официальные материалы и комментарии (720 часов)"
Журнал "Предприятия общественного питания"
Журнал "Промышленность: бухгалтерский учет и налогообложение"
Журнал "Разъяснения органов исполнительной власти по ведению финансово-хозяйственной деятельности в бюджетной сфере"
Журнал "Руководитель автономного учреждения"
Журнал "Руководитель бюджетной организации"
Журнал "Российский бухгалтер"
Журнал "Силовые министерства и ведомства: бухгалтерский учет и налогообложение"
Журнал "Строительство: акты и комментарии для бухгалтера"
Журнал "Строительство: бухгалтерский учет и налогообложение"
Журнал "Торговля: бухгалтерский учет и налогообложение"
Журнал "Трудовое право"
Журнал "Транспортные услуги: бухгалтерский учет и налогообложение"
Журнал "Туристические и гостиничные услуги: бухгалтерский учет и налогообложение"
Журнал "Управление персоналом"
Журнал "Упрощенная система налогообложения: бухгалтерский учет и налогообложение"
Журнал "Услуги связи: бухгалтерский учет и налогообложение"
Журнал "Учет и контроль"
Журнал "Учреждения культуры и искусства: бухгалтерский учет и налогообложение"
Журнал "Учреждения физической культуры и спорта: бухгалтерский учет и налогообложение"
Газета "Финансовая газета"
Журнал "Финансы"
Журнал "Финансовый вестник: финансы, налоги, страхование, бухгалтерский учет"
Журнал "Экономико-правовой бюллетень"
Журнал "ЭЖ Вопрос-Ответ"</w:t>
      </w:r>
    </w:p>
    <w:p/>
    <w:p>
      <w:pPr/>
      <w:r>
        <w:rPr>
          <w:rFonts w:ascii="Arial" w:hAnsi="Arial" w:eastAsia="Arial" w:cs="Arial"/>
          <w:lang w:val="ru-RU"/>
          <w:color w:val="120D21"/>
          <w:sz w:val="28"/>
          <w:szCs w:val="28"/>
          <w:b w:val="1"/>
          <w:bCs w:val="1"/>
        </w:rPr>
        <w:t xml:space="preserve">Специализированные блоки</w:t>
      </w:r>
    </w:p>
    <w:p/>
    <w:p>
      <w:pPr/>
      <w:r>
        <w:rPr>
          <w:rFonts w:ascii="Arial" w:hAnsi="Arial" w:eastAsia="Arial" w:cs="Arial"/>
          <w:lang w:val="ru-RU"/>
          <w:color w:val="120D21"/>
          <w:sz w:val="20"/>
          <w:szCs w:val="20"/>
          <w:b w:val="1"/>
          <w:bCs w:val="1"/>
        </w:rPr>
        <w:t xml:space="preserve">Энциклопедия. Формы правовых документов</w:t>
      </w:r>
    </w:p>
    <w:p>
      <w:pPr/>
      <w:r>
        <w:rPr>
          <w:rFonts w:ascii="Arial" w:hAnsi="Arial" w:eastAsia="Arial" w:cs="Arial"/>
          <w:lang w:val="ru-RU"/>
          <w:color w:val="120D21"/>
          <w:sz w:val="18"/>
          <w:szCs w:val="18"/>
        </w:rPr>
        <w:t xml:space="preserve">Уникальный блок содержит разработанные юристами-практиками формы различных документов, используемых в сфере гражданско-правовых отношений, процессуальных вопросах при обращениях в суд, регулирующих трудовую деятельность работника и работодателя, образцы локальных актов организаций, типовые отчетные формы и бланки документов, представляемые в государственные органы. В актуализируемую энциклопедию регулярно включаются новые формы.</w:t>
      </w:r>
    </w:p>
    <w:p/>
    <w:p>
      <w:pPr/>
      <w:r>
        <w:rPr>
          <w:rFonts w:ascii="Arial" w:hAnsi="Arial" w:eastAsia="Arial" w:cs="Arial"/>
          <w:lang w:val="ru-RU"/>
          <w:color w:val="120D21"/>
          <w:sz w:val="28"/>
          <w:szCs w:val="28"/>
          <w:b w:val="1"/>
          <w:bCs w:val="1"/>
        </w:rPr>
        <w:t xml:space="preserve">Без дополнительной оплаты</w:t>
      </w:r>
    </w:p>
    <w:p/>
    <w:p>
      <w:pPr/>
      <w:r>
        <w:rPr>
          <w:rFonts w:ascii="Arial" w:hAnsi="Arial" w:eastAsia="Arial" w:cs="Arial"/>
          <w:lang w:val="ru-RU"/>
          <w:color w:val="120D21"/>
          <w:sz w:val="20"/>
          <w:szCs w:val="20"/>
          <w:b w:val="1"/>
          <w:bCs w:val="1"/>
        </w:rPr>
        <w:t xml:space="preserve">ПРАЙМ</w:t>
      </w:r>
    </w:p>
    <w:p>
      <w:pPr/>
      <w:r>
        <w:rPr>
          <w:rFonts w:ascii="Arial" w:hAnsi="Arial" w:eastAsia="Arial" w:cs="Arial"/>
          <w:lang w:val="ru-RU"/>
          <w:color w:val="120D21"/>
          <w:sz w:val="18"/>
          <w:szCs w:val="18"/>
        </w:rPr>
        <w:t xml:space="preserve">ПРАЙМ- это услуга, позволяющая клиенту быть в курсе новостей в законодательстве в интересующей его профессиональной области (эти области клиент указывает в специальной  нкете): 
- новостная лента ПРАЙМ — индивидуально подобранные новости ежедневно приходят в систему и на электронную почту
 - аннотации к документам
- возможность построить обзор изменений законодательства</w:t>
      </w:r>
    </w:p>
    <w:p/>
    <w:p>
      <w:pPr/>
      <w:r>
        <w:rPr>
          <w:rFonts w:ascii="Arial" w:hAnsi="Arial" w:eastAsia="Arial" w:cs="Arial"/>
          <w:lang w:val="ru-RU"/>
          <w:color w:val="120D21"/>
          <w:sz w:val="20"/>
          <w:szCs w:val="20"/>
          <w:b w:val="1"/>
          <w:bCs w:val="1"/>
        </w:rPr>
        <w:t xml:space="preserve">Архивы ГАРАНТа</w:t>
      </w:r>
    </w:p>
    <w:p>
      <w:pPr/>
      <w:r>
        <w:rPr>
          <w:rFonts w:ascii="Arial" w:hAnsi="Arial" w:eastAsia="Arial" w:cs="Arial"/>
          <w:lang w:val="ru-RU"/>
          <w:color w:val="120D21"/>
          <w:sz w:val="18"/>
          <w:szCs w:val="18"/>
        </w:rPr>
        <w:t xml:space="preserve">Информационный правовой блок "Архивы ГАРАНТа. Россия" содержит узковедомственные отраслевые документы, редкие нормативные акты, организационные и индивидуальные нормативные акты. По состоянию на март 2023 года этот блок содержит свыше 348 000 документов.</w:t>
      </w:r>
    </w:p>
    <w:p/>
    <w:p>
      <w:pPr/>
      <w:r>
        <w:rPr>
          <w:rFonts w:ascii="Arial" w:hAnsi="Arial" w:eastAsia="Arial" w:cs="Arial"/>
          <w:lang w:val="ru-RU"/>
          <w:color w:val="120D21"/>
          <w:sz w:val="20"/>
          <w:szCs w:val="20"/>
          <w:b w:val="1"/>
          <w:bCs w:val="1"/>
        </w:rPr>
        <w:t xml:space="preserve">Большая домашняя правовая энциклопедия</w:t>
      </w:r>
    </w:p>
    <w:p>
      <w:pPr/>
      <w:r>
        <w:rPr>
          <w:rFonts w:ascii="Arial" w:hAnsi="Arial" w:eastAsia="Arial" w:cs="Arial"/>
          <w:lang w:val="ru-RU"/>
          <w:color w:val="120D21"/>
          <w:sz w:val="18"/>
          <w:szCs w:val="18"/>
        </w:rPr>
        <w:t xml:space="preserve">«Большая домашняя правовая энциклопедия» - уникальный продукт, доступный каждому пользователю системы ГАРАНТ без дополнительной платы. Здесь приводятся ответы на вопросы, возникающие в быту. Все, что нужно знать каждому для защиты своих прав - ответы на тысячи вопросов, возникающих в повседневной жизни, вы найдете в системе ГАРАНТ.
Информационный блок «Большая домашняя правовая энциклопедия» в системах ГАРАНТ - это актуализируемый аналитический материал, охватывающий все стороны жизни современного человека: дом, семья, дети и их обучение, работа и отдых, медицина, недвижимость, оформление наследства, банковские счета и налоги, заключение различных договоров и сделок, защита прав потребителей, обращение в суд, помощь адвокатов и многое другое. Энциклопедия отличается большим количеством вопросов-ответов по реальным бытовым ситуациям и практических примеров, в том числе из судебной практики. Вопросы-ответы подключаются из «Базы знаний службы Правового консалтинга» и с сайта Правовед.RU.</w:t>
      </w:r>
    </w:p>
    <w:p/>
    <w:p>
      <w:pPr/>
      <w:r>
        <w:rPr>
          <w:rFonts w:ascii="Arial" w:hAnsi="Arial" w:eastAsia="Arial" w:cs="Arial"/>
          <w:lang w:val="ru-RU"/>
          <w:color w:val="120D21"/>
          <w:sz w:val="20"/>
          <w:szCs w:val="20"/>
          <w:b w:val="1"/>
          <w:bCs w:val="1"/>
        </w:rPr>
        <w:t xml:space="preserve">База знаний службы правового консалтинга</w:t>
      </w:r>
    </w:p>
    <w:p>
      <w:pPr/>
      <w:r>
        <w:rPr>
          <w:rFonts w:ascii="Arial" w:hAnsi="Arial" w:eastAsia="Arial" w:cs="Arial"/>
          <w:lang w:val="ru-RU"/>
          <w:color w:val="120D21"/>
          <w:sz w:val="18"/>
          <w:szCs w:val="18"/>
        </w:rPr>
        <w:t xml:space="preserve">На основе многолетнего практического опыта работы экспертов службы Правового консалтинга сформирована и постоянно пополняется база знаний, которая включает десятки тысяч готовых решений по самым различным вопросам. Ежемесячно в базу подключается более 500 новых заключений. По состоянию на март 2023 года в блоке «База знаний службы Правового консалтинга» содержится более 138 000 подробных персональных экспертных заключений по заданным пользователями вопросам.</w:t>
      </w:r>
    </w:p>
    <w:p/>
    <w:p>
      <w:pPr/>
      <w:r>
        <w:rPr>
          <w:rFonts w:ascii="Arial" w:hAnsi="Arial" w:eastAsia="Arial" w:cs="Arial"/>
          <w:lang w:val="ru-RU"/>
          <w:color w:val="120D21"/>
          <w:sz w:val="20"/>
          <w:szCs w:val="20"/>
          <w:b w:val="1"/>
          <w:bCs w:val="1"/>
        </w:rPr>
        <w:t xml:space="preserve">ГАРАНТ Консалтинг: нормативные акты и судебная практика</w:t>
      </w:r>
    </w:p>
    <w:p>
      <w:pPr/>
      <w:r>
        <w:rPr>
          <w:rFonts w:ascii="Arial" w:hAnsi="Arial" w:eastAsia="Arial" w:cs="Arial"/>
          <w:lang w:val="ru-RU"/>
          <w:color w:val="120D21"/>
          <w:sz w:val="18"/>
          <w:szCs w:val="18"/>
        </w:rPr>
        <w:t xml:space="preserve">Специальный блок, который содержит документы, на которые ссылаются эксперты в консультациях: федеральные и региональные нормативно-правовые акты, судебная практика.</w:t>
      </w:r>
    </w:p>
    <w:p/>
    <w:p>
      <w:pPr/>
      <w:r>
        <w:rPr>
          <w:rFonts w:ascii="Arial" w:hAnsi="Arial" w:eastAsia="Arial" w:cs="Arial"/>
          <w:lang w:val="ru-RU"/>
          <w:color w:val="120D21"/>
          <w:sz w:val="28"/>
          <w:szCs w:val="28"/>
          <w:b w:val="1"/>
          <w:bCs w:val="1"/>
        </w:rPr>
        <w:t xml:space="preserve">Пакет Энциклопедий решений</w:t>
      </w:r>
    </w:p>
    <w:p/>
    <w:p>
      <w:pPr/>
      <w:r>
        <w:rPr>
          <w:rFonts w:ascii="Arial" w:hAnsi="Arial" w:eastAsia="Arial" w:cs="Arial"/>
          <w:lang w:val="ru-RU"/>
          <w:color w:val="120D21"/>
          <w:sz w:val="20"/>
          <w:szCs w:val="20"/>
          <w:b w:val="1"/>
          <w:bCs w:val="1"/>
        </w:rPr>
        <w:t xml:space="preserve">Пакет Энциклопедий решений для бухгалтера</w:t>
      </w:r>
    </w:p>
    <w:p>
      <w:pPr/>
      <w:r>
        <w:rPr>
          <w:rFonts w:ascii="Arial" w:hAnsi="Arial" w:eastAsia="Arial" w:cs="Arial"/>
          <w:lang w:val="ru-RU"/>
          <w:color w:val="120D21"/>
          <w:sz w:val="18"/>
          <w:szCs w:val="18"/>
        </w:rPr>
        <w:t xml:space="preserve">Пакет Энциклопедий решений для бухгалтера в системах ГАРАНТ включает в себя следующие Энциклопедии решений:«Энциклопедия решений. Налоги и взносы»
«Энциклопедия решений. Хозяйственные ситуации»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w:t>
      </w:r>
    </w:p>
    <w:p/>
    <w:p>
      <w:pPr/>
      <w:r>
        <w:rPr>
          <w:rFonts w:ascii="Arial" w:hAnsi="Arial" w:eastAsia="Arial" w:cs="Arial"/>
          <w:lang w:val="ru-RU"/>
          <w:color w:val="120D21"/>
          <w:sz w:val="20"/>
          <w:szCs w:val="20"/>
          <w:b w:val="1"/>
          <w:bCs w:val="1"/>
        </w:rPr>
        <w:t xml:space="preserve">Пакет Энциклопедий решений для юриста</w:t>
      </w:r>
    </w:p>
    <w:p>
      <w:pPr/>
      <w:r>
        <w:rPr>
          <w:rFonts w:ascii="Arial" w:hAnsi="Arial" w:eastAsia="Arial" w:cs="Arial"/>
          <w:lang w:val="ru-RU"/>
          <w:color w:val="120D21"/>
          <w:sz w:val="18"/>
          <w:szCs w:val="18"/>
        </w:rPr>
        <w:t xml:space="preserve">Пакет Энциклопедий решений для юриста в системах ГАРАНТ включает в себя следующие Энциклопедии решений:«Энциклопедия решений. Госзакупки»
«Энциклопедия решений. Проверки организаций и предпринимателей»
«Энциклопедия решений. Трудовые отношения, кадры»
«Энциклопедия решений. Договоры и иные сделки»
«Энциклопедия решений. Корпоративное право»</w:t>
      </w:r>
    </w:p>
    <w:p/>
    <w:p>
      <w:pPr/>
      <w:r>
        <w:rPr>
          <w:rFonts w:ascii="Arial" w:hAnsi="Arial" w:eastAsia="Arial" w:cs="Arial"/>
          <w:lang w:val="ru-RU"/>
          <w:color w:val="120D21"/>
          <w:sz w:val="28"/>
          <w:szCs w:val="28"/>
          <w:b w:val="1"/>
          <w:bCs w:val="1"/>
        </w:rPr>
        <w:t xml:space="preserve">Энциклопедии решений</w:t>
      </w:r>
    </w:p>
    <w:p/>
    <w:p>
      <w:pPr/>
      <w:r>
        <w:rPr>
          <w:rFonts w:ascii="Arial" w:hAnsi="Arial" w:eastAsia="Arial" w:cs="Arial"/>
          <w:lang w:val="ru-RU"/>
          <w:color w:val="120D21"/>
          <w:sz w:val="20"/>
          <w:szCs w:val="20"/>
          <w:b w:val="1"/>
          <w:bCs w:val="1"/>
        </w:rPr>
        <w:t xml:space="preserve">Энциклопедия решений. Проверки организаций и предпринимателей</w:t>
      </w:r>
    </w:p>
    <w:p>
      <w:pPr/>
      <w:r>
        <w:rPr>
          <w:rFonts w:ascii="Arial" w:hAnsi="Arial" w:eastAsia="Arial" w:cs="Arial"/>
          <w:lang w:val="ru-RU"/>
          <w:color w:val="120D21"/>
          <w:sz w:val="18"/>
          <w:szCs w:val="18"/>
        </w:rPr>
        <w:t xml:space="preserve">Блок "Энциклопедия решений. Проверки организаций и предпринимателей" представляет собой подборку материалов, в которых рассмотрены основные вопросы, возникающие в ходе проведения проверок контрольными органами деятельности организаций и индивидуальных предпринимателей.
Содержит рекомендации по подготовке к проверкам и по действиям при их проведении. В каждом разделе присутствует подробное описание процедур, действий и правил поведения в той или иной ситуации.
Вся информация изложена доступным и понятным языком. Блок регулярно актуализируется и пополняется новыми материалами. Все консультационные материалы Энциклопедии соответствуют действующему законодательству, составлены с учетом судебной практики и опираются на позицию органов государственной власти и сложившуюся правоприменительную практику. В Энциклопедию входят материалы из информационного блока "Энциклопедия судебной практики. Правовые позиции судов".
Энциклопедия рассматривает следующие темы:
Налоговые проверки;
Проверки ПФР и ФСС РФ плательщиков страховых взносов;
Проверки трудовой инспекцией;
Проверки органами федерального государственного пожарного надзора;
Проверки соблюдения работодателями правил квотирования рабочих мест для инвалидов, молодежи и иных лиц;
Проверки, осуществляемые антимонопольной службой в сфере рекламы;
Прокурорские проверки.
Проверки Федеральной службой по регулированию алкогольного рынка
Проверки Федеральной миграционной службой
Государственный надзор, осуществляемый Роспотребнадзором: субъекты проверок, к кому и зачем приходит Роспотребнадзор?</w:t>
      </w:r>
    </w:p>
    <w:p/>
    <w:p>
      <w:pPr/>
      <w:r>
        <w:rPr>
          <w:rFonts w:ascii="Arial" w:hAnsi="Arial" w:eastAsia="Arial" w:cs="Arial"/>
          <w:lang w:val="ru-RU"/>
          <w:color w:val="120D21"/>
          <w:sz w:val="20"/>
          <w:szCs w:val="20"/>
          <w:b w:val="1"/>
          <w:bCs w:val="1"/>
        </w:rPr>
        <w:t xml:space="preserve">Энциклопедия решений. Хозяйственные ситуации</w:t>
      </w:r>
    </w:p>
    <w:p>
      <w:pPr/>
      <w:r>
        <w:rPr>
          <w:rFonts w:ascii="Arial" w:hAnsi="Arial" w:eastAsia="Arial" w:cs="Arial"/>
          <w:lang w:val="ru-RU"/>
          <w:color w:val="120D21"/>
          <w:sz w:val="18"/>
          <w:szCs w:val="18"/>
        </w:rPr>
        <w:t xml:space="preserve">Готовые решения наиболее острых вопросов, возникающих в
деятельности любого предприятия. В Энциклопедии каждая ситуация рассматривается с различных точек зрения и сопровождается всей
необходимой информацией: аналитическими материалами, наглядными примерами, типовыми бухгалтерскими проводками, ссылками на
арбитражную практику и письма контролирующих органов, позволяющих проанализировать возможные экономические и правовые риски,
примерами заполнения форм документов. Все это позволяет быстро найти ответ практически на любой вопрос и спланировать
дальнейшие действия. Все представленные в Энциклопедии материалы подготовлены экспертами службы Правового консалтинга
ГАРАНТ и основаны на обобщении их многолетнего практического опыта. Именно ежедневная работа с реальными запросами клиентов
позволила составить подборку актуальных и сугубо практических ситуаций, решения по которым востребованы специалистами любого
предприятия. Все представленные в Энциклопедии решения постоянно поддерживаются в актуальном состоянии, что гарантирует их
соответствие действующему законодательству и позволяет применять их без какой-либо дополнительной проверки.</w:t>
      </w:r>
    </w:p>
    <w:p/>
    <w:p>
      <w:pPr/>
      <w:r>
        <w:rPr>
          <w:rFonts w:ascii="Arial" w:hAnsi="Arial" w:eastAsia="Arial" w:cs="Arial"/>
          <w:lang w:val="ru-RU"/>
          <w:color w:val="120D21"/>
          <w:sz w:val="20"/>
          <w:szCs w:val="20"/>
          <w:b w:val="1"/>
          <w:bCs w:val="1"/>
        </w:rPr>
        <w:t xml:space="preserve">Энциклопедия решений. Госзакупки</w:t>
      </w:r>
    </w:p>
    <w:p>
      <w:pPr/>
      <w:r>
        <w:rPr>
          <w:rFonts w:ascii="Arial" w:hAnsi="Arial" w:eastAsia="Arial" w:cs="Arial"/>
          <w:lang w:val="ru-RU"/>
          <w:color w:val="120D21"/>
          <w:sz w:val="18"/>
          <w:szCs w:val="18"/>
        </w:rPr>
        <w:t xml:space="preserve">Основу блока составили документы, подготовленные специально для компании "Гарант". В блоке представлены нормативные акты, разъяснения и комментарии, административная практика, судебная практика и примерные формы документов. Размещенные в блоке материалы интересны обеим сторонам процесса госзаказа - и заказчикам, и поставщикам. Материалы блока всегда актуальны и готовы к применению без дополнительной проверки. Интерактивная технология позволяет создавать уникальные по своему удобству и дизайну страницы, на которых вся информация доступна в рамках одного экрана - достаточно просто кликнуть мышью по интересующему пункту.</w:t>
      </w:r>
    </w:p>
    <w:p/>
    <w:p>
      <w:pPr/>
      <w:r>
        <w:rPr>
          <w:rFonts w:ascii="Arial" w:hAnsi="Arial" w:eastAsia="Arial" w:cs="Arial"/>
          <w:lang w:val="ru-RU"/>
          <w:color w:val="120D21"/>
          <w:sz w:val="20"/>
          <w:szCs w:val="20"/>
          <w:b w:val="1"/>
          <w:bCs w:val="1"/>
        </w:rPr>
        <w:t xml:space="preserve">Энциклопедия решений. Трудовые отношения, кадры</w:t>
      </w:r>
    </w:p>
    <w:p>
      <w:pPr/>
      <w:r>
        <w:rPr>
          <w:rFonts w:ascii="Arial" w:hAnsi="Arial" w:eastAsia="Arial" w:cs="Arial"/>
          <w:lang w:val="ru-RU"/>
          <w:color w:val="120D21"/>
          <w:sz w:val="18"/>
          <w:szCs w:val="18"/>
        </w:rPr>
        <w:t xml:space="preserve">Блок состоит из отдельных решений по кадровой тематике. Система подачи материала такова, что каждый текст с помощью ссылок связан с другими текстами.
Все материалы представляют собой не только систематизированное изложение правовых норм, но и их практический комментарий. В решениях цитирование законодательства сведено к минимуму, а его толкование приводится во всех случаях, когда это необходимо. Авторы приводят свою точку зрения в тех ситуациях, когда прямого ответа на вопрос нет в законодательстве.
Все выводы сопровождаются обоснованием, содержащим ссылки на нормативные акты, разъяснительные письма ОГВ, арбитражную практику и, что особенно важно в рамках кадровой тематики, практику судов общей юрисдикции, которым подведомственны трудовые споры.
В Энциклопедии много формул, примеров, схем и таблиц. С их помощью информация воспринимается легко, решения принимаются быстро, а знания систематизируются. В Энциклопедию входят материалы из информационного блока "Энциклопедия судебной практики. Правовые позиции судов".
В Энциклопедии представлены аналитические материалы по следующим темам:
- Прекращение трудового договора (увольнение);
- Совместительство;
- Совмещение и другие виды дополнительной работы;
- Рабочее время;
- Время отдыха;
- Сверхурочная работа, работа в ночное время, выходные и праздники;
- Заработная плата;
- Средний заработок для случаев, предусмотренных ТК РФ;
- Пособия работникам;
- Служебная командировка;
- Дисциплинарная ответственность;
- Стаж;
- Проверки трудовой инспекцией;
- и другие.
Пользователям блока Энциклопедия решений. Трудовые отношения, кадры доступен
раздел, посвященный сбору и обработке персональных данных. Здесь можно найти
информацию о принципах и условиях такой обработки, в том числе узнать об особенностях
обработки специальных категорий персональных данных, о правах субъекта персональных
данных, а также ознакомиться с информацией о проверках Роскомнадзором исполнения
требований в данной области.</w:t>
      </w:r>
    </w:p>
    <w:p/>
    <w:p>
      <w:pPr/>
      <w:r>
        <w:rPr>
          <w:rFonts w:ascii="Arial" w:hAnsi="Arial" w:eastAsia="Arial" w:cs="Arial"/>
          <w:lang w:val="ru-RU"/>
          <w:color w:val="120D21"/>
          <w:sz w:val="20"/>
          <w:szCs w:val="20"/>
          <w:b w:val="1"/>
          <w:bCs w:val="1"/>
        </w:rPr>
        <w:t xml:space="preserve">Энциклопедия решений. Налоги и взносы</w:t>
      </w:r>
    </w:p>
    <w:p>
      <w:pPr/>
      <w:r>
        <w:rPr>
          <w:rFonts w:ascii="Arial" w:hAnsi="Arial" w:eastAsia="Arial" w:cs="Arial"/>
          <w:lang w:val="ru-RU"/>
          <w:color w:val="120D21"/>
          <w:sz w:val="18"/>
          <w:szCs w:val="18"/>
        </w:rPr>
        <w:t xml:space="preserve">Блок "Энциклопедия решений. Налоги и взносы" представляет собой набор актуальных экспертных комментариев к положениям налогового законодательства РФ. Энциклопедия состоит из аналитических статей, в каждой из которых рассмотрен отдельный вопрос налогообложения. Кроме комментария к нормам НК РФ, материалы содержат краткое описание проблем, возникающих в связи с их применением, а также подборку разъясняющих писем контролирующих органов и судебной практики, если они имеются. Ко многим статьям подобраны материалы из базы знаний Правового консалтинга, иллюстрирующие применение конкретных норм, а также примеры заполнения форм документов.
В блоке "Энциклопедия решений. Налоги и взносы" представлены аналитические материалы по темам:
- Налог на добавленную стоимость;
- Налог на доходы физических лиц;
- Налог на прибыль организаций;
- Единый сельскохозяйственный налог;
- Упрощенная система налогообложения;
- Единый налог на вмененный доход;
- Транспортный налог;
- Налог на имущество организаций;
- Земельный налог;
- Налог на имущество физических лиц;
- Взносы на обязательное социальное страхование;
- Налоговые проверки;
- Ответственность за совершение налогового правонарушения;
- Обжалование актов налоговых органов, действий или бездействия их должностных лиц;
- и другие.</w:t>
      </w:r>
    </w:p>
    <w:p/>
    <w:p>
      <w:pPr/>
      <w:r>
        <w:rPr>
          <w:rFonts w:ascii="Arial" w:hAnsi="Arial" w:eastAsia="Arial" w:cs="Arial"/>
          <w:lang w:val="ru-RU"/>
          <w:color w:val="120D21"/>
          <w:sz w:val="20"/>
          <w:szCs w:val="20"/>
          <w:b w:val="1"/>
          <w:bCs w:val="1"/>
        </w:rPr>
        <w:t xml:space="preserve">Энциклопедия решений. Договоры и иные сделки</w:t>
      </w:r>
    </w:p>
    <w:p>
      <w:pPr/>
      <w:r>
        <w:rPr>
          <w:rFonts w:ascii="Arial" w:hAnsi="Arial" w:eastAsia="Arial" w:cs="Arial"/>
          <w:lang w:val="ru-RU"/>
          <w:color w:val="120D21"/>
          <w:sz w:val="18"/>
          <w:szCs w:val="18"/>
        </w:rPr>
        <w:t xml:space="preserve">Используя в работе материалы, представленные в блоке, вы всегда будете знать, какие тонкости необходимо учитывать при выборе модели договорных правоотношений, на что следует обращать особое внимание при составлении текста договора.
В блоке содержатся материалы о часто используемых гражданско-правовых договорах, применяемых как в предпринимательской деятельности, так и в отношениях между гражданами.
Помимо общей характеристики договоров рассматриваются особенности их различных видов, освещаются проблемы, связанные с исполнением этих договоров, и предлагаются пути их решения, приводятся практические рекомендации. Здесь можно найти и актуальные формы всех представленных в блоке договоров, а также сопутствующие им документы (акты, уведомления, претензии и т.д.).
В блоке содержатся материалы, дающие базовые сведения о гражданско-правовых договорах, а также о порядке и формах осуществления расчетов между контрагентами. Такая информация будет необходима любому субъекту, имеющему намерение вступить в договорные отношения независимо от выбранного вида договора. В Энциклопедию входят материалы из информационного блока "Энциклопедия судебной практики. Правовые позиции судов".
В блоке представлены следующие материалы:
Гражданско-правовой договор. Общие положения
Доверенность
Купля-продажа
Поставка
Мена
Дарение
Аренда
Безвозмездное пользование
Подряд
Выполнение научно-исследовательских, опытно-конструкторских и технологических работ
Возмездное оказание услуг
Перевозка
Заем
Кредит
Расчеты
Хранение
Страхование
Поручение
Комиссия
Агентирование
Лицензионный договор
Цессия.</w:t>
      </w:r>
    </w:p>
    <w:p/>
    <w:p>
      <w:pPr/>
      <w:r>
        <w:rPr>
          <w:rFonts w:ascii="Arial" w:hAnsi="Arial" w:eastAsia="Arial" w:cs="Arial"/>
          <w:lang w:val="ru-RU"/>
          <w:color w:val="120D21"/>
          <w:sz w:val="20"/>
          <w:szCs w:val="20"/>
          <w:b w:val="1"/>
          <w:bCs w:val="1"/>
        </w:rPr>
        <w:t xml:space="preserve">Энциклопедия решений. Корпоративное право</w:t>
      </w:r>
    </w:p>
    <w:p>
      <w:pPr/>
      <w:r>
        <w:rPr>
          <w:rFonts w:ascii="Arial" w:hAnsi="Arial" w:eastAsia="Arial" w:cs="Arial"/>
          <w:lang w:val="ru-RU"/>
          <w:color w:val="120D21"/>
          <w:sz w:val="18"/>
          <w:szCs w:val="18"/>
        </w:rPr>
        <w:t xml:space="preserve">В блоке представлены ответы на вопросы, касающиеся организации деятельности юридических лиц. С помощью данных материалов Вы можете получить необходимые сведения о регистрации юридических лиц, создании и деятельности филиалов и представительств, реорганизации, ликвидации и т.д.
Энциклопедия носит практическую направленность. В ней обобщен опыт службы Правового консалтинга ГАРАНТ, учтены последние изменения в законодательстве, позиция судов, разъяснения органов власти и сложившаяся правоприменительная практика. Информационный блок содержит материалы из "Энциклопедии судебной практики. Правовые позиции судов".
В блоке получили освещение следующие темы:
Создание юридического лица
Общество с ограниченной ответственность
Акционерное общество
Государственная регистрация юридических лиц
Наименование юридического лица. Фирменное наименование
Место нахождения юридического лица. Юридический и фактический адрес
Правоспособность юридических лиц
Счета юридических лиц
Печать юридического лица. Штампы и фирменные бланки
Обособленные подразделения. Филиалы и представительства
Дочерние общества
Зависимые общества
Гражданско-правовая ответственность юридических лиц
Аффилированные лица юридического лица
Реорганизация юридического лица
Ликвидация юридического лица
Антимонопольное регулирование</w:t>
      </w:r>
    </w:p>
    <w:p/>
    <w:p>
      <w:pPr/>
      <w:r>
        <w:rPr>
          <w:rFonts w:ascii="Arial" w:hAnsi="Arial" w:eastAsia="Arial" w:cs="Arial"/>
          <w:lang w:val="ru-RU"/>
          <w:color w:val="120D21"/>
          <w:sz w:val="28"/>
          <w:szCs w:val="28"/>
          <w:b w:val="1"/>
          <w:bCs w:val="1"/>
        </w:rPr>
        <w:t xml:space="preserve">Правовая Поддержка</w:t>
      </w:r>
    </w:p>
    <w:p/>
    <w:p>
      <w:pPr/>
      <w:r>
        <w:rPr>
          <w:rFonts w:ascii="Arial" w:hAnsi="Arial" w:eastAsia="Arial" w:cs="Arial"/>
          <w:lang w:val="ru-RU"/>
          <w:color w:val="120D21"/>
          <w:sz w:val="20"/>
          <w:szCs w:val="20"/>
          <w:b w:val="1"/>
          <w:bCs w:val="1"/>
        </w:rPr>
        <w:t xml:space="preserve">Горячая
линия</w:t>
      </w:r>
    </w:p>
    <w:p>
      <w:pPr/>
      <w:r>
        <w:rPr>
          <w:rFonts w:ascii="Arial" w:hAnsi="Arial" w:eastAsia="Arial" w:cs="Arial"/>
          <w:lang w:val="ru-RU"/>
          <w:color w:val="120D21"/>
          <w:sz w:val="18"/>
          <w:szCs w:val="18"/>
        </w:rPr>
        <w:t xml:space="preserve">Эта услуга доступна для всех
пользователей системы без
дополнительной оплаты. С помошью
чата в интернет-версии системы,
кнопки «Задать вопрос эксперту» или
просто по телефону, клиент может
связаться с нашими специалистами и
задать вопрос, касающийся:
- помощи в поиске в системе ответа
на свой правовой вопрос
- помощи в розыске редких
документов
- определении статуса документа
- вопросы, касающиеся сервисного
обслуживан</w:t>
      </w:r>
    </w:p>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p>
      <w:pPr/>
      <w:r>
        <w:rPr>
          <w:rFonts w:ascii="Arial" w:hAnsi="Arial" w:eastAsia="Arial" w:cs="Arial"/>
          <w:lang w:val="ru-RU"/>
          <w:color w:val="120D21"/>
          <w:sz w:val="32"/>
          <w:szCs w:val="32"/>
          <w:b w:val="1"/>
          <w:bCs w:val="1"/>
        </w:rPr>
        <w:t xml:space="preserve">Цена за комплект</w:t>
      </w:r>
    </w:p>
    <w:tbl>
      <w:tblGrid>
        <w:gridCol w:w="4725" w:type="dxa"/>
        <w:gridCol w:w="2025" w:type="dxa"/>
        <w:gridCol w:w="1525" w:type="dxa"/>
        <w:gridCol w:w="1525" w:type="dxa"/>
        <w:gridCol w:w="2025" w:type="dxa"/>
      </w:tblGrid>
      <w:tblPr>
        <w:tblStyle w:val="TableStyle"/>
      </w:tblPr>
      <w:tr>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4725" w:type="dxa"/>
            <w:vAlign w:val="center"/>
            <w:tcBorders>
              <w:top w:val="single" w:sz="4" w:color="000000"/>
              <w:left w:val="single" w:sz="4" w:color="000000"/>
              <w:right w:val="single" w:sz="4" w:color="000000"/>
              <w:bottom w:val="single" w:sz="4" w:color="000000"/>
            </w:tcBorders>
          </w:tcPr>
          <w:tbl>
            <w:tblGrid>
              <w:gridCol w:w="46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4695"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1525" w:type="dxa"/>
            <w:vAlign w:val="center"/>
            <w:tcBorders>
              <w:top w:val="single" w:sz="4" w:color="000000"/>
              <w:left w:val="single" w:sz="4" w:color="000000"/>
              <w:right w:val="single" w:sz="4" w:color="000000"/>
              <w:bottom w:val="single" w:sz="4" w:color="000000"/>
            </w:tcBorders>
          </w:tcPr>
          <w:tbl>
            <w:tblGrid>
              <w:gridCol w:w="14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4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025" w:type="dxa"/>
            <w:vAlign w:val="center"/>
            <w:tcBorders>
              <w:top w:val="single" w:sz="4" w:color="000000"/>
              <w:left w:val="single" w:sz="4" w:color="000000"/>
              <w:right w:val="single" w:sz="4" w:color="000000"/>
              <w:bottom w:val="single" w:sz="4" w:color="000000"/>
            </w:tcBorders>
          </w:tcPr>
          <w:tbl>
            <w:tblGrid>
              <w:gridCol w:w="1995"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1995"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p>
      <w:r>
        <w:br w:type="page"/>
      </w:r>
    </w:p>
    <w:p/>
    <w:tbl>
      <w:tblGrid>
        <w:gridCol w:w="5875.2" w:type="dxa"/>
        <w:gridCol w:w="856.8000000000001" w:type="dxa"/>
        <w:gridCol w:w="6120" w:type="dxa"/>
      </w:tblGrid>
      <w:tblPr>
        <w:tblStyle w:val="InvoiceHeaderTableStyle"/>
      </w:tblPr>
      <w:tr>
        <w:trPr>
          <w:trHeight w:val="800"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400"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Южный филиал АО 'Райффайзенбанк' г.Краснодар</w:t>
                  </w:r>
                </w:p>
              </w:tc>
            </w:tr>
            <w:tr>
              <w:trPr>
                <w:trHeight w:val="400" w:hRule="atLeast"/>
              </w:trPr>
              <w:tc>
                <w:tcPr>
                  <w:vAlign w:val="bottom"/>
                </w:tcPr>
                <w:p>
                  <w:pPr>
                    <w:jc w:val="left"/>
                    <w:spacing w:before="0" w:after="0" w:line="240" w:lineRule="auto"/>
                  </w:pPr>
                  <w:r>
                    <w:rPr>
                      <w:rFonts w:ascii="Arial" w:hAnsi="Arial" w:eastAsia="Arial" w:cs="Arial"/>
                      <w:lang w:val="ru-RU"/>
                      <w:color w:val="120D21"/>
                      <w:sz w:val="18"/>
                      <w:szCs w:val="18"/>
                    </w:rPr>
                    <w:t xml:space="preserve">Банк получателя</w:t>
                  </w:r>
                </w:p>
              </w:tc>
            </w:tr>
          </w:tbl>
          <w:p/>
        </w:tc>
        <w:tc>
          <w:tcPr>
            <w:tcW w:w="856.8000000000001" w:type="dxa"/>
            <w:tcBorders>
              <w:top w:val="single" w:sz="4" w:color="000000"/>
              <w:left w:val="single" w:sz="4" w:color="000000"/>
              <w:right w:val="single" w:sz="4" w:color="000000"/>
              <w:bottom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БИК</w:t>
                  </w:r>
                </w:p>
              </w:tc>
            </w:tr>
          </w:tbl>
          <w:tbl>
            <w:tblGrid>
              <w:gridCol w:w="856.8000000000001" w:type="dxa"/>
            </w:tblGrid>
            <w:tblPr>
              <w:tblW w:w="0" w:type="auto"/>
              <w:tblCellSpacing w:w="0" w:type="dxa"/>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Cx #</w:t>
                  </w:r>
                </w:p>
              </w:tc>
            </w:tr>
          </w:tbl>
          <w:p/>
        </w:tc>
        <w:tc>
          <w:tcPr>
            <w:tcW w:w="6120"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040349556</w:t>
                  </w:r>
                </w:p>
              </w:tc>
            </w:tr>
            <w:tr>
              <w:trPr>
                <w:trHeight w:val="277.77777777777777"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30101810900000000556</w:t>
                  </w:r>
                </w:p>
              </w:tc>
            </w:tr>
          </w:tbl>
          <w:p/>
        </w:tc>
      </w:tr>
      <w:tr>
        <w:trPr>
          <w:trHeight w:val="222.22222222222223" w:hRule="atLeast"/>
        </w:trPr>
        <w:tc>
          <w:tcPr>
            <w:tcW w:w="5875.2" w:type="dxa"/>
            <w:tcBorders>
              <w:top w:val="single" w:sz="4" w:color="000000"/>
              <w:left w:val="single" w:sz="4" w:color="000000"/>
              <w:right w:val="single" w:sz="4" w:color="000000"/>
              <w:bottom w:val="single" w:sz="4" w:color="000000"/>
            </w:tcBorders>
          </w:tcPr>
          <w:tbl>
            <w:tblGrid>
              <w:gridCol w:w="300" w:type="dxa"/>
              <w:gridCol w:w="1500" w:type="dxa"/>
              <w:gridCol w:w="300" w:type="dxa"/>
              <w:gridCol w:w="3775.2"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ИНН</w:t>
                  </w:r>
                </w:p>
              </w:tc>
              <w:tc>
                <w:tcPr>
                  <w:tcW w:w="15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262900156801</w:t>
                  </w:r>
                </w:p>
              </w:tc>
              <w:tc>
                <w:tcPr>
                  <w:tcW w:w="300" w:type="dxa"/>
                  <w:tcBorders>
                    <w:right w:val="single" w:sz="4" w:color="000000"/>
                  </w:tcBorders>
                </w:tcPr>
                <w:p>
                  <w:pPr>
                    <w:jc w:val="left"/>
                    <w:spacing w:before="0" w:after="0" w:line="240" w:lineRule="auto"/>
                  </w:pPr>
                  <w:r>
                    <w:rPr>
                      <w:rFonts w:ascii="Arial" w:hAnsi="Arial" w:eastAsia="Arial" w:cs="Arial"/>
                      <w:lang w:val="ru-RU"/>
                      <w:color w:val="120D21"/>
                      <w:sz w:val="18"/>
                      <w:szCs w:val="18"/>
                    </w:rPr>
                    <w:t xml:space="preserve">КПП</w:t>
                  </w:r>
                </w:p>
              </w:tc>
              <w:tc>
                <w:tcPr>
                  <w:tcW w:w="3775.2"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856.8000000000001" w:type="dxa"/>
            <w:tcBorders>
              <w:right w:val="single" w:sz="4" w:color="000000"/>
            </w:tcBorders>
          </w:tcPr>
          <w:tbl>
            <w:tblGrid>
              <w:gridCol w:w="856.8000000000001"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Сч. №</w:t>
                  </w:r>
                </w:p>
              </w:tc>
            </w:tr>
          </w:tbl>
          <w:p/>
        </w:tc>
        <w:tc>
          <w:tcPr>
            <w:tcW w:w="6120" w:type="dxa"/>
            <w:tcBorders>
              <w:right w:val="single" w:sz="4" w:color="000000"/>
            </w:tcBorders>
          </w:tcPr>
          <w:tbl>
            <w:tblGrid>
              <w:gridCol w:w="6120" w:type="dxa"/>
            </w:tblGrid>
            <w:tblPr>
              <w:tblW w:w="0" w:type="auto"/>
              <w:tblCellSpacing w:w="0" w:type="dxa"/>
              <w:tblLayout w:type="autofit"/>
              <w:bidiVisual w:val="0"/>
              <w:tblCellMar>
                <w:top w:w="30" w:type="dxa"/>
                <w:left w:w="30" w:type="dxa"/>
                <w:right w:w="30" w:type="dxa"/>
                <w:bottom w:w="30" w:type="dxa"/>
              </w:tblCellMar>
            </w:tblPr>
            <w:tr>
              <w:trPr>
                <w:trHeight w:val="222.22222222222223" w:hRule="atLeast"/>
              </w:trPr>
              <w:tc>
                <w:tcPr>
                  <w:tcW w:w="6120" w:type="dxa"/>
                </w:tcPr>
                <w:p>
                  <w:pPr>
                    <w:jc w:val="left"/>
                    <w:spacing w:before="0" w:after="0" w:line="240" w:lineRule="auto"/>
                  </w:pPr>
                  <w:r>
                    <w:rPr>
                      <w:rFonts w:ascii="Arial" w:hAnsi="Arial" w:eastAsia="Arial" w:cs="Arial"/>
                      <w:lang w:val="ru-RU"/>
                      <w:color w:val="120D21"/>
                      <w:sz w:val="18"/>
                      <w:szCs w:val="18"/>
                    </w:rPr>
                    <w:t xml:space="preserve">40802810826000050639</w:t>
                  </w:r>
                </w:p>
              </w:tc>
            </w:tr>
          </w:tbl>
          <w:p/>
        </w:tc>
      </w:tr>
      <w:tr>
        <w:trPr>
          <w:trHeight w:val="577.7777777777778" w:hRule="atLeast"/>
        </w:trPr>
        <w:tc>
          <w:tcPr>
            <w:tcW w:w="5875.2" w:type="dxa"/>
            <w:tcBorders>
              <w:top w:val="single" w:sz="4" w:color="000000"/>
              <w:left w:val="single" w:sz="4" w:color="000000"/>
              <w:right w:val="single" w:sz="4" w:color="000000"/>
              <w:bottom w:val="single" w:sz="4" w:color="000000"/>
            </w:tcBorders>
          </w:tcPr>
          <w:tbl>
            <w:tblGrid>
              <w:gridCol w:w="5745.2"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rHeight w:val="288.8888888888889" w:hRule="atLeast"/>
              </w:trPr>
              <w:tc>
                <w:tcPr>
                  <w:tcW w:w="5745.2" w:type="dxa"/>
                  <w:vAlign w:val="top"/>
                  <w:tcBorders>
                    <w:top w:val="single" w:sz="0" w:color="FFFFFF"/>
                    <w:left w:val="single" w:sz="0" w:color="FFFFFF"/>
                    <w:right w:val="single" w:sz="0" w:color="FFFFFF"/>
                    <w:bottom w:val="single" w:sz="0" w:color="FFFFFF"/>
                  </w:tcBorders>
                </w:tcPr>
                <w:p>
                  <w:pPr>
                    <w:jc w:val="left"/>
                    <w:spacing w:before="0" w:after="0" w:line="240" w:lineRule="auto"/>
                  </w:pPr>
                  <w:r>
                    <w:rPr>
                      <w:rFonts w:ascii="Arial" w:hAnsi="Arial" w:eastAsia="Arial" w:cs="Arial"/>
                      <w:lang w:val="ru-RU"/>
                      <w:color w:val="120D21"/>
                      <w:sz w:val="18"/>
                      <w:szCs w:val="18"/>
                    </w:rPr>
                    <w:t xml:space="preserve">ИП Савчук А.В.</w:t>
                  </w:r>
                </w:p>
              </w:tc>
            </w:tr>
            <w:tr>
              <w:trPr>
                <w:trHeight w:val="288.8888888888889" w:hRule="atLeast"/>
              </w:trPr>
              <w:tc>
                <w:tcPr>
                  <w:tcW w:w="5875.2" w:type="dxa"/>
                  <w:vAlign w:val="bottom"/>
                </w:tcPr>
                <w:p>
                  <w:pPr>
                    <w:jc w:val="left"/>
                    <w:spacing w:before="0" w:after="0" w:line="240" w:lineRule="auto"/>
                  </w:pPr>
                  <w:r>
                    <w:rPr>
                      <w:rFonts w:ascii="Arial" w:hAnsi="Arial" w:eastAsia="Arial" w:cs="Arial"/>
                      <w:lang w:val="ru-RU"/>
                      <w:color w:val="120D21"/>
                      <w:sz w:val="18"/>
                      <w:szCs w:val="18"/>
                    </w:rPr>
                    <w:t xml:space="preserve">Получатель</w:t>
                  </w:r>
                </w:p>
              </w:tc>
            </w:tr>
          </w:tbl>
          <w:p/>
        </w:tc>
        <w:tc>
          <w:tcPr>
            <w:tcW w:w="856.8000000000001"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c>
          <w:tcPr>
            <w:tcW w:w="6120" w:type="dxa"/>
            <w:tcBorders>
              <w:right w:val="single" w:sz="4" w:color="000000"/>
              <w:bottom w:val="single" w:sz="4" w:color="000000"/>
            </w:tcBorders>
          </w:tcPr>
          <w:tbl>
            <w:tblGrid>
              <w:gridCol w:w="856.8000000000001" w:type="dxa"/>
            </w:tblGrid>
            <w:tr>
              <w:trPr>
                <w:trHeight w:val="500" w:hRule="atLeast"/>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r>
              <w:trPr/>
              <w:tc>
                <w:tcPr>
                  <w:tcW w:w="856.8000000000001" w:type="dxa"/>
                </w:tcPr>
                <w:p>
                  <w:pPr>
                    <w:jc w:val="left"/>
                    <w:spacing w:before="0" w:after="0" w:line="240" w:lineRule="auto"/>
                  </w:pPr>
                  <w:r>
                    <w:rPr>
                      <w:rFonts w:ascii="Arial" w:hAnsi="Arial" w:eastAsia="Arial" w:cs="Arial"/>
                      <w:lang w:val="ru-RU"/>
                      <w:color w:val="120D21"/>
                      <w:sz w:val="18"/>
                      <w:szCs w:val="18"/>
                    </w:rPr>
                    <w:t xml:space="preserve"/>
                  </w:r>
                </w:p>
              </w:tc>
            </w:tr>
          </w:tbl>
          <w:p/>
        </w:tc>
      </w:tr>
    </w:tbl>
    <w:p/>
    <w:p/>
    <w:p/>
    <w:p>
      <w:pPr>
        <w:jc w:val="center"/>
        <w:spacing w:before="0" w:after="1" w:line="360" w:lineRule="auto"/>
      </w:pPr>
      <w:r>
        <w:rPr>
          <w:rFonts w:ascii="Arial" w:hAnsi="Arial" w:eastAsia="Arial" w:cs="Arial"/>
          <w:lang w:val="ru-RU"/>
          <w:color w:val="120D21"/>
          <w:sz w:val="32"/>
          <w:szCs w:val="32"/>
          <w:b w:val="1"/>
          <w:bCs w:val="1"/>
        </w:rPr>
        <w:t xml:space="preserve">Счет на оплату N __   от 01.01.01</w:t>
      </w:r>
    </w:p>
    <w:p/>
    <w:p/>
    <w:tbl>
      <w:tblGrid>
        <w:gridCol w:w="10800" w:type="dxa"/>
      </w:tblGrid>
      <w:tr>
        <w:trPr/>
        <w:tc>
          <w:tcPr>
            <w:tcW w:w="10800" w:type="dxa"/>
            <w:tcBorders>
              <w:top w:val="single" w:sz="0" w:color="FFFFFF"/>
              <w:left w:val="single" w:sz="0" w:color="FFFFFF"/>
              <w:right w:val="single" w:sz="0" w:color="FFFFFF"/>
              <w:bottom w:val="single" w:sz="0" w:color="FFFFFF"/>
            </w:tcBorders>
          </w:tcPr>
          <w:tbl>
            <w:tblGrid>
              <w:gridCol w:w="10800" w:type="dxa"/>
            </w:tblGrid>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Поставщик: </w:t>
                  </w:r>
                  <w:r>
                    <w:rPr>
                      <w:rFonts w:ascii="Arial" w:hAnsi="Arial" w:eastAsia="Arial" w:cs="Arial"/>
                      <w:lang w:val="ru-RU"/>
                      <w:color w:val="120D21"/>
                      <w:sz w:val="18"/>
                      <w:szCs w:val="18"/>
                    </w:rPr>
                    <w:t xml:space="preserve">Индивидуальный Предприниматель Савчук Анатолий Викторович</w:t>
                  </w:r>
                  <w:r>
                    <w:rPr>
                      <w:rFonts w:ascii="Arial" w:hAnsi="Arial" w:eastAsia="Arial" w:cs="Arial"/>
                      <w:lang w:val="ru-RU"/>
                      <w:color w:val="120D21"/>
                      <w:sz w:val="18"/>
                      <w:szCs w:val="18"/>
                    </w:rPr>
                    <w:t xml:space="preserve">, ИНН: 262900156801</w:t>
                  </w:r>
                  <w:r>
                    <w:rPr>
                      <w:rFonts w:ascii="Arial" w:hAnsi="Arial" w:eastAsia="Arial" w:cs="Arial"/>
                      <w:lang w:val="ru-RU"/>
                      <w:color w:val="120D21"/>
                      <w:sz w:val="18"/>
                      <w:szCs w:val="18"/>
                    </w:rPr>
                    <w:t xml:space="preserve">, адрес:357340, Ставропольский край, Лермонтов г, Октябрьская ул, дом № 50, кв.28</w:t>
                  </w:r>
                  <w:r>
                    <w:rPr>
                      <w:rFonts w:ascii="Arial" w:hAnsi="Arial" w:eastAsia="Arial" w:cs="Arial"/>
                      <w:lang w:val="ru-RU"/>
                      <w:color w:val="120D21"/>
                      <w:sz w:val="18"/>
                      <w:szCs w:val="18"/>
                    </w:rPr>
                    <w:t xml:space="preserve">, телефон:7(800)7000394</w:t>
                  </w:r>
                </w:p>
              </w:tc>
            </w:tr>
            <w:tr>
              <w:trPr/>
              <w:tc>
                <w:tcPr>
                  <w:tcW w:w="10800" w:type="dxa"/>
                  <w:tcBorders>
                    <w:top w:val="single" w:sz="0" w:color="FFFFFF"/>
                    <w:left w:val="single" w:sz="0" w:color="FFFFFF"/>
                    <w:right w:val="single" w:sz="0" w:color="FFFFFF"/>
                    <w:bottom w:val="single" w:sz="0" w:color="FFFFFF"/>
                  </w:tcBorders>
                </w:tcPr>
                <w:p>
                  <w:pPr/>
                  <w:r>
                    <w:rPr>
                      <w:rFonts w:ascii="Arial" w:hAnsi="Arial" w:eastAsia="Arial" w:cs="Arial"/>
                      <w:lang w:val="ru-RU"/>
                      <w:color w:val="120D21"/>
                      <w:sz w:val="20"/>
                      <w:szCs w:val="20"/>
                      <w:b w:val="1"/>
                      <w:bCs w:val="1"/>
                    </w:rPr>
                    <w:t xml:space="preserve">Покупатель: </w:t>
                  </w:r>
                  <w:r>
                    <w:rPr>
                      <w:rFonts w:ascii="Arial" w:hAnsi="Arial" w:eastAsia="Arial" w:cs="Arial"/>
                      <w:lang w:val="ru-RU"/>
                      <w:color w:val="120D21"/>
                      <w:sz w:val="18"/>
                      <w:szCs w:val="18"/>
                    </w:rPr>
                    <w:t xml:space="preserve">Министерство труда и социального развития РСО-А</w:t>
                  </w:r>
                  <w:r>
                    <w:rPr>
                      <w:rFonts w:ascii="Arial" w:hAnsi="Arial" w:eastAsia="Arial" w:cs="Arial"/>
                      <w:lang w:val="ru-RU"/>
                      <w:color w:val="120D21"/>
                      <w:sz w:val="18"/>
                      <w:szCs w:val="18"/>
                    </w:rPr>
                    <w:t xml:space="preserve">, ИНН 1234567890</w:t>
                  </w:r>
                </w:p>
              </w:tc>
            </w:tr>
          </w:tbl>
          <w:p/>
        </w:tc>
      </w:tr>
    </w:tbl>
    <w:p/>
    <w:tbl>
      <w:tblGrid>
        <w:gridCol w:w="5400" w:type="dxa"/>
        <w:gridCol w:w="2700" w:type="dxa"/>
        <w:gridCol w:w="2200" w:type="dxa"/>
        <w:gridCol w:w="2200" w:type="dxa"/>
        <w:gridCol w:w="2700" w:type="dxa"/>
      </w:tblGrid>
      <w:tblPr>
        <w:tblStyle w:val="TableStyle"/>
      </w:tblPr>
      <w:tr>
        <w:trPr>
          <w:trHeight w:val="4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Наименование</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Цена</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Количество</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Единица</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b w:val="1"/>
                      <w:bCs w:val="1"/>
                    </w:rPr>
                    <w:t xml:space="preserve">Сумма</w:t>
                  </w:r>
                </w:p>
              </w:tc>
            </w:tr>
          </w:tbl>
          <w:p/>
        </w:tc>
      </w:tr>
      <w:tr>
        <w:trPr>
          <w:trHeight w:val="600" w:hRule="atLeast"/>
        </w:trPr>
        <w:tc>
          <w:tcPr>
            <w:tcW w:w="5400" w:type="dxa"/>
            <w:vAlign w:val="center"/>
            <w:tcBorders>
              <w:top w:val="single" w:sz="4" w:color="000000"/>
              <w:left w:val="single" w:sz="4" w:color="000000"/>
              <w:right w:val="single" w:sz="4" w:color="000000"/>
              <w:bottom w:val="single" w:sz="4" w:color="000000"/>
            </w:tcBorders>
          </w:tcPr>
          <w:tbl>
            <w:tblGrid>
              <w:gridCol w:w="53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5370" w:type="dxa"/>
                  <w:tcBorders>
                    <w:top w:val="single" w:sz="0" w:color="FFFFFF"/>
                    <w:left w:val="single" w:sz="0" w:color="FFFFFF"/>
                    <w:right w:val="single" w:sz="0" w:color="FFFFFF"/>
                    <w:bottom w:val="single" w:sz="0" w:color="FFFFFF"/>
                  </w:tcBorders>
                </w:tcPr>
                <w:p>
                  <w:pPr>
                    <w:jc w:val="left"/>
                    <w:spacing w:before="0" w:after="0" w:line="276" w:lineRule="auto"/>
                  </w:pPr>
                  <w:r>
                    <w:rPr>
                      <w:rFonts w:ascii="Arial" w:hAnsi="Arial" w:eastAsia="Arial" w:cs="Arial"/>
                      <w:lang w:val="ru-RU"/>
                      <w:color w:val="120D21"/>
                      <w:sz w:val="20"/>
                      <w:szCs w:val="20"/>
                      <w:b w:val="1"/>
                      <w:bCs w:val="1"/>
                    </w:rPr>
                    <w:t xml:space="preserve">Гарант-Офис Интернет 1 ОД</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1</w:t>
                  </w:r>
                </w:p>
              </w:tc>
            </w:tr>
          </w:tbl>
          <w:p/>
        </w:tc>
        <w:tc>
          <w:tcPr>
            <w:tcW w:w="2200" w:type="dxa"/>
            <w:vAlign w:val="center"/>
            <w:tcBorders>
              <w:top w:val="single" w:sz="4" w:color="000000"/>
              <w:left w:val="single" w:sz="4" w:color="000000"/>
              <w:right w:val="single" w:sz="4" w:color="000000"/>
              <w:bottom w:val="single" w:sz="4" w:color="000000"/>
            </w:tcBorders>
          </w:tcPr>
          <w:tbl>
            <w:tblGrid>
              <w:gridCol w:w="21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1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мес.</w:t>
                  </w:r>
                </w:p>
              </w:tc>
            </w:tr>
          </w:tbl>
          <w:p/>
        </w:tc>
        <w:tc>
          <w:tcPr>
            <w:tcW w:w="2700" w:type="dxa"/>
            <w:vAlign w:val="center"/>
            <w:tcBorders>
              <w:top w:val="single" w:sz="4" w:color="000000"/>
              <w:left w:val="single" w:sz="4" w:color="000000"/>
              <w:right w:val="single" w:sz="4" w:color="000000"/>
              <w:bottom w:val="single" w:sz="4" w:color="000000"/>
            </w:tcBorders>
          </w:tcPr>
          <w:tbl>
            <w:tblGrid>
              <w:gridCol w:w="2670" w:type="dxa"/>
            </w:tblGrid>
            <w:tblPr>
              <w:jc w:val="center"/>
              <w:tblW w:w="0" w:type="auto"/>
              <w:tblLayout w:type="autofit"/>
              <w:bidiVisual w:val="0"/>
              <w:tblCellMar>
                <w:top w:w="30" w:type="dxa"/>
                <w:left w:w="30" w:type="dxa"/>
                <w:right w:w="30" w:type="dxa"/>
                <w:bottom w:w="3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2670" w:type="dxa"/>
                  <w:tcBorders>
                    <w:top w:val="single" w:sz="0" w:color="FFFFFF"/>
                    <w:left w:val="single" w:sz="0" w:color="FFFFFF"/>
                    <w:right w:val="single" w:sz="0" w:color="FFFFFF"/>
                    <w:bottom w:val="single" w:sz="0" w:color="FFFFFF"/>
                  </w:tcBorders>
                </w:tcPr>
                <w:p>
                  <w:pPr>
                    <w:jc w:val="center"/>
                    <w:spacing w:before="0" w:after="0" w:line="276" w:lineRule="auto"/>
                  </w:pPr>
                  <w:r>
                    <w:rPr>
                      <w:rFonts w:ascii="Arial" w:hAnsi="Arial" w:eastAsia="Arial" w:cs="Arial"/>
                      <w:lang w:val="ru-RU"/>
                      <w:color w:val="120D21"/>
                      <w:sz w:val="20"/>
                      <w:szCs w:val="20"/>
                    </w:rPr>
                    <w:t xml:space="preserve">7396</w:t>
                  </w:r>
                </w:p>
              </w:tc>
            </w:tr>
          </w:tbl>
          <w:p/>
        </w:tc>
      </w:tr>
    </w:tbl>
    <w:p/>
    <w:p>
      <w:pPr>
        <w:jc w:val="end"/>
        <w:spacing w:before="0" w:after="1" w:line="360" w:lineRule="auto"/>
      </w:pPr>
      <w:r>
        <w:rPr>
          <w:rFonts w:ascii="Arial" w:hAnsi="Arial" w:eastAsia="Arial" w:cs="Arial"/>
          <w:lang w:val="ru-RU"/>
          <w:color w:val="120D21"/>
          <w:sz w:val="20"/>
          <w:szCs w:val="20"/>
          <w:b w:val="1"/>
          <w:bCs w:val="1"/>
        </w:rPr>
        <w:t xml:space="preserve">Итого: </w:t>
      </w:r>
      <w:r>
        <w:rPr>
          <w:rFonts w:ascii="Arial" w:hAnsi="Arial" w:eastAsia="Arial" w:cs="Arial"/>
          <w:lang w:val="ru-RU"/>
          <w:color w:val="120D21"/>
          <w:sz w:val="20"/>
          <w:szCs w:val="20"/>
          <w:b w:val="0"/>
          <w:bCs w:val="0"/>
        </w:rPr>
        <w:t xml:space="preserve">Семь тысяч триста девяносто шесть рублей ноль копеек без НДС</w:t>
      </w:r>
    </w:p>
    <w:p/>
    <w:tbl>
      <w:tblGrid>
        <w:gridCol w:w="4080" w:type="dxa"/>
        <w:gridCol w:w="4080" w:type="dxa"/>
        <w:gridCol w:w="4080" w:type="dxa"/>
      </w:tblGrid>
      <w:tr>
        <w:trPr>
          <w:trHeight w:val="900" w:hRule="atLeast"/>
        </w:trPr>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Индивидуальный Предприниматель Савчук Анатолий Викторович</w:t>
            </w:r>
          </w:p>
        </w:tc>
        <w:tc>
          <w:tcPr>
            <w:tcW w:w="4080" w:type="dxa"/>
            <w:vAlign w:val="center"/>
            <w:tcBorders>
              <w:top w:val="single" w:sz="0" w:color="FFFFFF"/>
              <w:left w:val="single" w:sz="0" w:color="FFFFFF"/>
              <w:right w:val="single" w:sz="0" w:color="FFFFFF"/>
              <w:bottom w:val="single" w:sz="0" w:color="FFFFFF"/>
            </w:tcBorders>
          </w:tcPr>
          <w:p>
            <w:pPr>
              <w:jc w:val="center"/>
            </w:pPr>
            <w:r>
              <w:pict>
                <v:shape type="#_x0000_t75" stroked="f" style="width:120pt; height:123.27272727273pt; margin-left:0pt; margin-top:120pt; position:relative; mso-position-horizontal:center; mso-position-vertical:center; mso-position-horizontal-relative:column; mso-position-vertical-relative:line; z-index:-2147483647;">
                  <v:imagedata r:id="rId7" o:title=""/>
                </v:shape>
              </w:pict>
            </w:r>
          </w:p>
          <w:p>
            <w:pPr>
              <w:jc w:val="center"/>
            </w:pPr>
            <w:r>
              <w:pict>
                <v:shape type="#_x0000_t75" stroked="f" style="width:100pt; height:92.830188679245pt; margin-left:0pt; margin-top:0pt; mso-position-horizontal:left; mso-position-vertical:top; mso-position-horizontal-relative:char; mso-position-vertical-relative:line; z-index:2147483647;">
                  <v:imagedata r:id="rId8" o:title=""/>
                </v:shape>
              </w:pict>
            </w:r>
          </w:p>
        </w:tc>
        <w:tc>
          <w:tcPr>
            <w:tcW w:w="4080" w:type="dxa"/>
            <w:vAlign w:val="center"/>
            <w:tcBorders>
              <w:top w:val="single" w:sz="0" w:color="FFFFFF"/>
              <w:left w:val="single" w:sz="0" w:color="FFFFFF"/>
              <w:right w:val="single" w:sz="0" w:color="FFFFFF"/>
              <w:bottom w:val="single" w:sz="0" w:color="FFFFFF"/>
            </w:tcBorders>
          </w:tcPr>
          <w:p>
            <w:pPr>
              <w:spacing w:before="0" w:after="1" w:line="360" w:lineRule="auto"/>
            </w:pPr>
            <w:r>
              <w:rPr>
                <w:rFonts w:ascii="Arial" w:hAnsi="Arial" w:eastAsia="Arial" w:cs="Arial"/>
                <w:lang w:val="ru-RU"/>
                <w:color w:val="120D21"/>
                <w:sz w:val="18"/>
                <w:szCs w:val="18"/>
              </w:rPr>
              <w:t xml:space="preserve"/>
            </w:r>
          </w:p>
        </w:tc>
      </w:tr>
    </w:tbl>
    <w:sectPr>
      <w:headerReference w:type="default" r:id="rId9"/>
      <w:pgSz w:orient="portrait" w:w="12240" w:h="15840"/>
      <w:pgMar w:top="1440" w:right="720" w:bottom="144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896" w:type="dxa"/>
      <w:gridCol w:w="8160" w:type="dxa"/>
    </w:tblGrid>
    <w:tr>
      <w:trPr/>
      <w:tc>
        <w:tcPr>
          <w:tcW w:w="4896" w:type="dxa"/>
        </w:tcPr>
        <w:tbl>
          <w:tblGrid>
            <w:gridCol w:w="4896" w:type="dxa"/>
          </w:tblGrid>
          <w:tr>
            <w:trPr/>
            <w:tc>
              <w:tcPr>
                <w:tcW w:w="4896" w:type="dxa"/>
              </w:tcPr>
              <w:p>
                <w:pPr>
                  <w:spacing w:before="0" w:after="0" w:line="240" w:lineRule="auto"/>
                </w:pPr>
                <w:r>
                  <w:rPr>
                    <w:rFonts w:ascii="Arial" w:hAnsi="Arial" w:eastAsia="Arial" w:cs="Arial"/>
                    <w:lang w:val="ru-RU"/>
                    <w:color w:val="120D21"/>
                    <w:sz w:val="18"/>
                    <w:szCs w:val="18"/>
                  </w:rPr>
                  <w:t xml:space="preserve">Индивидуальный Предприниматель Савчук Анатолий Викторович, ИНН: 262900156801, </w:t>
                </w:r>
              </w:p>
            </w:tc>
          </w:tr>
          <w:tr>
            <w:trPr/>
            <w:tc>
              <w:tcPr>
                <w:tcW w:w="4896" w:type="dxa"/>
              </w:tcPr>
              <w:p>
                <w:pPr>
                  <w:spacing w:before="0" w:after="0" w:line="240" w:lineRule="auto"/>
                </w:pPr>
                <w:r>
                  <w:rPr>
                    <w:rFonts w:ascii="Arial" w:hAnsi="Arial" w:eastAsia="Arial" w:cs="Arial"/>
                    <w:lang w:val="ru-RU"/>
                    <w:color w:val="120D21"/>
                    <w:sz w:val="18"/>
                    <w:szCs w:val="18"/>
                  </w:rPr>
                  <w:t xml:space="preserve">357340, Ставропольский край, Лермонтов г, Матвиенко ул, дом № 12, корпус 2, 7(800)7000394, info@garant26.ru</w:t>
                </w:r>
              </w:p>
            </w:tc>
          </w:tr>
        </w:tbl>
        <w:p/>
      </w:tc>
      <w:tc>
        <w:tcPr>
          <w:tcW w:w="8160" w:type="dxa"/>
        </w:tcPr>
        <w:p>
          <w:pPr>
            <w:jc w:val="end"/>
          </w:pPr>
          <w:r>
            <w:pict>
              <v:shape type="#_x0000_t75" stroked="f" style="width:120pt; height:50.896551724138pt; margin-left:0pt; margin-top:0pt; mso-position-horizontal:left; mso-position-vertical:top; mso-position-horizontal-relative:char; mso-position-vertical-relative:line; z-index:-2147483647;">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2024-02-01T12:00:23+00:00</dcterms:created>
  <dcterms:modified xsi:type="dcterms:W3CDTF">2024-02-01T12:00:23+00:00</dcterms:modified>
</cp:coreProperties>
</file>

<file path=docProps/custom.xml><?xml version="1.0" encoding="utf-8"?>
<Properties xmlns="http://schemas.openxmlformats.org/officeDocument/2006/custom-properties" xmlns:vt="http://schemas.openxmlformats.org/officeDocument/2006/docPropsVTypes"/>
</file>