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Включает в себя формы документов, стать, проекты законов,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акты органов власти,унифицированные формы документов, международные договоры, судебную практику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Наиболее полная подборка решений КС РФ, ВАС РФ, ВС РФ, в том числе по интеллектуальным правам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всех 10 судебных округов в которых функционирует 21 арбитражный апелляционный суд.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Практика судов общей юрисдикции из 85 регионов РФ.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Структурированные постатейные аннотации решений судов по наиболее востребованным пользователями темам и нормативным актам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Все судебные решения, на которые ссылаются в своих текстах авторы статей, книг и других консультационных материалов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Более десятка миллионов решений мировых судей субъектов РФ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определения, выносимые арбитражными судами первой, апелляционной и кассационной инстанций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комментарии законодательства, книги и статьи, журналы, вопросы и ответы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Содержит нормативные акты, узковедомственные отрасливые документы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/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/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</w:r>
    </w:p>
    <w:p/>
    <w:p>
      <w:pPr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Горячая
линия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</w:rPr>
        <w:t xml:space="preserve">В кратчайшие сроки клиент получит квалифицированный ответ на свой вопрос</w:t>
      </w:r>
    </w:p>
    <w:p/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p/>
    <w:p>
      <w:pPr>
        <w:pStyle w:val="ColorBoldText"/>
      </w:pPr>
      <w:r>
        <w:rPr>
          <w:b w:val="1"/>
          <w:bCs w:val="1"/>
        </w:rPr>
        <w:t xml:space="preserve">Гарант-Юрист Интернет 1 ОД</w:t>
      </w:r>
      <w:r>
        <w:rPr>
          <w:b w:val="1"/>
          <w:bCs w:val="1"/>
        </w:rPr>
        <w:t xml:space="preserve">  Цена</w:t>
      </w:r>
      <w:r>
        <w:rPr>
          <w:color w:val="FF0000"/>
          <w:b w:val="1"/>
          <w:bCs w:val="1"/>
        </w:rPr>
        <w:t xml:space="preserve">  7280</w:t>
      </w:r>
      <w:r>
        <w:rPr>
          <w:b w:val="1"/>
          <w:bCs w:val="1"/>
        </w:rPr>
        <w:t xml:space="preserve">  1 месяц</w:t>
      </w:r>
      <w:br/>
      <w:r>
        <w:rPr>
          <w:b w:val="1"/>
          <w:bCs w:val="1"/>
        </w:rPr>
        <w:t xml:space="preserve">Сумма</w:t>
      </w:r>
      <w:r>
        <w:rPr>
          <w:color w:val="FF0000"/>
          <w:b w:val="1"/>
          <w:bCs w:val="1"/>
        </w:rPr>
        <w:t xml:space="preserve">  7280</w:t>
      </w:r>
    </w:p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tbl>
      <w:tblGrid>
        <w:gridCol w:w="5400" w:type="dxa"/>
        <w:gridCol w:w="2700" w:type="dxa"/>
        <w:gridCol w:w="2200" w:type="dxa"/>
        <w:gridCol w:w="2700" w:type="dxa"/>
      </w:tblGrid>
      <w:tblPr>
        <w:tblStyle w:val="TableStyle"/>
      </w:tblPr>
      <w:tr>
        <w:trPr>
          <w:trHeight w:val="4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4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3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3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  <w:tc>
          <w:tcPr>
            <w:tcW w:w="22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1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1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700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26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67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7280</w:t>
                  </w:r>
                </w:p>
              </w:tc>
            </w:tr>
          </w:tbl>
          <w:p/>
        </w:tc>
      </w:tr>
    </w:tbl>
    <w:p/>
    <w:p>
      <w:pPr>
        <w:jc w:val="end"/>
        <w:spacing w:before="0" w:after="1" w:line="360" w:lineRule="auto"/>
      </w:pPr>
      <w:r>
        <w:rPr>
          <w:rFonts w:ascii="Arial" w:hAnsi="Arial" w:eastAsia="Arial" w:cs="Arial"/>
          <w:lang w:val="ru-RU"/>
          <w:color w:val="120D21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2"/>
          <w:szCs w:val="22"/>
          <w:b w:val="0"/>
          <w:bCs w:val="0"/>
        </w:rPr>
        <w:t xml:space="preserve">Семь тысяч двести восемьдесят рублей ноль копеек без НДС</w:t>
      </w:r>
    </w:p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Вадим Савчук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120D21"/>
              <w:sz w:val="18"/>
              <w:szCs w:val="18"/>
            </w:rPr>
            <w:t xml:space="preserve">телелефон: +79620027991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  <w:gridCol w:w="8160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8160" w:type="dxa"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2024-01-30T10:02:14+00:00</dcterms:created>
  <dcterms:modified xsi:type="dcterms:W3CDTF">2024-01-30T10:02:14+00:00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