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1F64E" w14:textId="395A1DEA" w:rsidR="00AD0900" w:rsidRPr="00014EF4" w:rsidRDefault="00A67BF3" w:rsidP="00386B99">
      <w:pPr>
        <w:rPr>
          <w:rFonts w:ascii="Times New Roman" w:hAnsi="Times New Roman" w:cs="Times New Roman"/>
          <w:b/>
        </w:rPr>
      </w:pPr>
      <w:r w:rsidRPr="00014EF4">
        <w:rPr>
          <w:rFonts w:ascii="Times New Roman" w:hAnsi="Times New Roman" w:cs="Times New Roman"/>
          <w:b/>
        </w:rPr>
        <w:t xml:space="preserve">Supplemental Material for: </w:t>
      </w:r>
      <w:r w:rsidR="00F56185" w:rsidRPr="00014EF4">
        <w:rPr>
          <w:rFonts w:ascii="Times New Roman" w:hAnsi="Times New Roman" w:cs="Times New Roman"/>
          <w:b/>
        </w:rPr>
        <w:t>Proposed l</w:t>
      </w:r>
      <w:r w:rsidR="00AD0900" w:rsidRPr="00014EF4">
        <w:rPr>
          <w:rFonts w:ascii="Times New Roman" w:hAnsi="Times New Roman" w:cs="Times New Roman"/>
          <w:b/>
        </w:rPr>
        <w:t xml:space="preserve">inezolid dosing strategies to minimize adverse events </w:t>
      </w:r>
      <w:r w:rsidR="00234A7D" w:rsidRPr="00014EF4">
        <w:rPr>
          <w:rFonts w:ascii="Times New Roman" w:hAnsi="Times New Roman" w:cs="Times New Roman"/>
          <w:b/>
        </w:rPr>
        <w:t>for</w:t>
      </w:r>
      <w:r w:rsidR="00AD0900" w:rsidRPr="00014EF4">
        <w:rPr>
          <w:rFonts w:ascii="Times New Roman" w:hAnsi="Times New Roman" w:cs="Times New Roman"/>
          <w:b/>
        </w:rPr>
        <w:t xml:space="preserve"> treatment </w:t>
      </w:r>
      <w:r w:rsidR="00234A7D" w:rsidRPr="00014EF4">
        <w:rPr>
          <w:rFonts w:ascii="Times New Roman" w:hAnsi="Times New Roman" w:cs="Times New Roman"/>
          <w:b/>
        </w:rPr>
        <w:t xml:space="preserve">of </w:t>
      </w:r>
      <w:r w:rsidR="00AD0900" w:rsidRPr="00014EF4">
        <w:rPr>
          <w:rFonts w:ascii="Times New Roman" w:hAnsi="Times New Roman" w:cs="Times New Roman"/>
          <w:b/>
        </w:rPr>
        <w:t>extensively drug-resistant tuberculosis</w:t>
      </w:r>
    </w:p>
    <w:p w14:paraId="16A5645E" w14:textId="781EEB27" w:rsidR="00A67BF3" w:rsidRDefault="00A67BF3" w:rsidP="00393591">
      <w:pPr>
        <w:rPr>
          <w:rFonts w:ascii="Times New Roman" w:hAnsi="Times New Roman" w:cs="Times New Roman"/>
          <w:b/>
        </w:rPr>
      </w:pPr>
    </w:p>
    <w:p w14:paraId="55303472" w14:textId="62B75A7F" w:rsidR="003A2705" w:rsidRDefault="003A2705" w:rsidP="00393591">
      <w:pPr>
        <w:rPr>
          <w:rFonts w:ascii="Times New Roman" w:hAnsi="Times New Roman" w:cs="Times New Roman"/>
          <w:b/>
        </w:rPr>
      </w:pPr>
    </w:p>
    <w:p w14:paraId="2F17B133" w14:textId="168917A0" w:rsidR="003A2705" w:rsidRPr="006941F2" w:rsidRDefault="003A2705" w:rsidP="00393591">
      <w:pPr>
        <w:rPr>
          <w:rFonts w:ascii="Times New Roman" w:hAnsi="Times New Roman" w:cs="Times New Roman"/>
        </w:rPr>
      </w:pPr>
      <w:r w:rsidRPr="006941F2">
        <w:rPr>
          <w:rFonts w:ascii="Times New Roman" w:hAnsi="Times New Roman" w:cs="Times New Roman"/>
        </w:rPr>
        <w:t xml:space="preserve">MZ Imperial, JR Nedelman, F Conradie, R Savic* </w:t>
      </w:r>
    </w:p>
    <w:p w14:paraId="62081827"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br w:type="page"/>
      </w:r>
    </w:p>
    <w:p w14:paraId="6B937E3C" w14:textId="77777777" w:rsidR="00A67BF3" w:rsidRPr="006941F2" w:rsidRDefault="00A67BF3" w:rsidP="006941F2">
      <w:pPr>
        <w:pStyle w:val="Heading1"/>
        <w:rPr>
          <w:rFonts w:ascii="Times New Roman" w:hAnsi="Times New Roman" w:cs="Times New Roman"/>
          <w:b/>
          <w:color w:val="auto"/>
          <w:sz w:val="28"/>
          <w:szCs w:val="28"/>
        </w:rPr>
      </w:pPr>
      <w:r w:rsidRPr="006941F2">
        <w:rPr>
          <w:rFonts w:ascii="Times New Roman" w:hAnsi="Times New Roman" w:cs="Times New Roman"/>
          <w:b/>
          <w:color w:val="auto"/>
          <w:sz w:val="28"/>
          <w:szCs w:val="28"/>
        </w:rPr>
        <w:lastRenderedPageBreak/>
        <w:t xml:space="preserve">SUPPLEMENTAL METHODS </w:t>
      </w:r>
    </w:p>
    <w:p w14:paraId="145EBD7C" w14:textId="77777777" w:rsidR="00A67BF3" w:rsidRPr="006941F2" w:rsidRDefault="00A67BF3" w:rsidP="006941F2">
      <w:pPr>
        <w:pStyle w:val="Heading2"/>
        <w:rPr>
          <w:rFonts w:ascii="Times New Roman" w:hAnsi="Times New Roman" w:cs="Times New Roman"/>
          <w:b/>
          <w:color w:val="auto"/>
          <w:sz w:val="24"/>
          <w:szCs w:val="24"/>
        </w:rPr>
      </w:pPr>
      <w:r w:rsidRPr="006941F2">
        <w:rPr>
          <w:rFonts w:ascii="Times New Roman" w:hAnsi="Times New Roman" w:cs="Times New Roman"/>
          <w:b/>
          <w:color w:val="auto"/>
          <w:sz w:val="24"/>
          <w:szCs w:val="24"/>
        </w:rPr>
        <w:t xml:space="preserve">Study design and patient population </w:t>
      </w:r>
    </w:p>
    <w:p w14:paraId="1197F0ED" w14:textId="7E027FD6" w:rsidR="00A67BF3" w:rsidRPr="00014EF4" w:rsidRDefault="00A67BF3" w:rsidP="00386B99">
      <w:pPr>
        <w:rPr>
          <w:rFonts w:ascii="Times New Roman" w:hAnsi="Times New Roman" w:cs="Times New Roman"/>
        </w:rPr>
      </w:pPr>
      <w:r w:rsidRPr="00014EF4">
        <w:rPr>
          <w:rFonts w:ascii="Times New Roman" w:hAnsi="Times New Roman" w:cs="Times New Roman"/>
        </w:rPr>
        <w:t>This population pharmacokinetic (PK)-toxicodynamic analysis evaluated data from the Nix-TB clinical trial (NCT02333799), a Phase 3, open-label study that evaluated efficacy, safety, and tolerability and PK of bedaquiline, pretomanid and linezolid (BPaL) after 6-months of treatment (option to extend for 9-months</w:t>
      </w:r>
      <w:r w:rsidR="00086B8E" w:rsidRPr="00014EF4">
        <w:rPr>
          <w:rFonts w:ascii="Times New Roman" w:hAnsi="Times New Roman" w:cs="Times New Roman"/>
        </w:rPr>
        <w:t xml:space="preserve"> for participants with culture positivity at month 4</w:t>
      </w:r>
      <w:r w:rsidRPr="00014EF4">
        <w:rPr>
          <w:rFonts w:ascii="Times New Roman" w:hAnsi="Times New Roman" w:cs="Times New Roman"/>
        </w:rPr>
        <w:t>) in patients with either pulmonary extensively drug-resistant tuberculosis (XDR-TB) or treatment-intolerant or nonresponsive (TI/NR) multidrug-resistant tuberculosis  (MDR-TB)</w:t>
      </w:r>
      <w:r w:rsidR="00F2206C" w:rsidRPr="00014EF4">
        <w:rPr>
          <w:rFonts w:ascii="Times New Roman" w:hAnsi="Times New Roman" w:cs="Times New Roman"/>
        </w:rPr>
        <w:fldChar w:fldCharType="begin" w:fldLock="1"/>
      </w:r>
      <w:r w:rsidR="0008531D">
        <w:rPr>
          <w:rFonts w:ascii="Times New Roman" w:hAnsi="Times New Roman" w:cs="Times New Roman"/>
        </w:rPr>
        <w:instrText>ADDIN CSL_CITATION {"citationItems":[{"id":"ITEM-1","itemData":{"DOI":"10.1056/NEJMoa1901814","ISSN":"0028-4793","abstract":"BACKGROUND Patients with highly drug-resistant forms of tuberculosis have limited treatment options and historically have had poor outcomes. METHODS In an open-label, single-group study in which follow-up is ongoing at three South African sites, we investigated treatment with three oral drugs - bedaquiline, pretomanid, and linezolid - that have bactericidal activity against tuberculosis and to which there is little preexisting resistance. We evaluated the safety and efficacy of the drug combination for 26 weeks in patients with extensively drug-resistant tuberculosis and patients with multidrug-resistant tuberculosis that was not responsive to treatment or for which a second-line regimen had been discontinued because of side effects. The primary end point was the incidence of an unfavorable outcome, defined as treatment failure (bacteriologic or clinical) or relapse during follow-up, which continued until 6 months after the end of treatment. Patients were classified as having a favorable outcome at 6 months if they had resolution of clinical disease, a negative culture status, and had not already been classified as having had an unfavorable outcome. Other efficacy end points and safety were also evaluated. RESULTS A total of 109 patients were enrolled in the study and were included in the evaluation of efficacy and safety end points. At 6 months after the end of treatment in the intention-to-treat analysis, 11 patients (10%) had an unfavorable outcome and 98 patients (90%; 95% confidence interval, 83 to 95) had a favorable outcome. The 11 unfavorable outcomes were 7 deaths (6 during treatment and 1 from an unknown cause during follow-up), 1 withdrawal of consent during treatment, 2 relapses during follow-up, and 1 loss to follow-up. The expected linezolid toxic effects of peripheral neuropathy (occurring in 81% of patients) and myelosuppression (48%), although common, were manageable, often leading to dose reductions or interruptions in treatment with linezolid. CONCLUSIONS The combination of bedaquiline, pretomanid, and linezolid led to a favorable outcome at 6 months after the end of therapy in a high percentage of patients with highly drug-resistant forms of tuberculosis; some associated toxic effects were observed. (Funded by the TB Alliance and others; ClinicalTrials.gov number, NCT02333799.).","author":[{"dropping-particle":"","family":"Conradie","given":"Francesca","non-dropping-particle":"","parse-names":false,"suffix":""},{"dropping-particle":"","family":"Diacon","given":"Andreas H.","non-dropping-particle":"","parse-names":false,"suffix":""},{"dropping-particle":"","family":"Ngubane","given":"Nosipho","non-dropping-particle":"","parse-names":false,"suffix":""},{"dropping-particle":"","family":"Howell","given":"Pauline","non-dropping-particle":"","parse-names":false,"suffix":""},{"dropping-particle":"","family":"Everitt","given":"Daniel","non-dropping-particle":"","parse-names":false,"suffix":""},{"dropping-particle":"","family":"Crook","given":"Angela M.","non-dropping-particle":"","parse-names":false,"suffix":""},{"dropping-particle":"","family":"Mendel","given":"Carl M.","non-dropping-particle":"","parse-names":false,"suffix":""},{"dropping-particle":"","family":"Egizi","given":"Erica","non-dropping-particle":"","parse-names":false,"suffix":""},{"dropping-particle":"","family":"Moreira","given":"Joanna","non-dropping-particle":"","parse-names":false,"suffix":""},{"dropping-particle":"","family":"Timm","given":"Juliano","non-dropping-particle":"","parse-names":false,"suffix":""},{"dropping-particle":"","family":"McHugh","given":"Timothy D.","non-dropping-particle":"","parse-names":false,"suffix":""},{"dropping-particle":"","family":"Wills","given":"Genevieve H.","non-dropping-particle":"","parse-names":false,"suffix":""},{"dropping-particle":"","family":"Bateson","given":"Anna","non-dropping-particle":"","parse-names":false,"suffix":""},{"dropping-particle":"","family":"Hunt","given":"Robert","non-dropping-particle":"","parse-names":false,"suffix":""},{"dropping-particle":"","family":"Niekerk","given":"Christo","non-dropping-particle":"Van","parse-names":false,"suffix":""},{"dropping-particle":"","family":"Li","given":"Mengchun","non-dropping-particle":"","parse-names":false,"suffix":""},{"dropping-particle":"","family":"Olugbosi","given":"Morounfolu","non-dropping-particle":"","parse-names":false,"suffix":""},{"dropping-particle":"","family":"Spigelman","given":"Melvin","non-dropping-particle":"","parse-names":false,"suffix":""}],"container-title":"New England Journal of Medicine","id":"ITEM-1","issue":"10","issued":{"date-parts":[["2020"]]},"page":"893-902","title":"Treatment of Highly Drug-Resistant Pulmonary Tuberculosis","type":"article-journal","volume":"382"},"uris":["http://www.mendeley.com/documents/?uuid=eacd8f3f-fe6e-328e-8c17-95fd06f15afc"]}],"mendeley":{"formattedCitation":"[1]","plainTextFormattedCitation":"[1]","previouslyFormattedCitation":"[1]"},"properties":{"noteIndex":0},"schema":"https://github.com/citation-style-language/schema/raw/master/csl-citation.json"}</w:instrText>
      </w:r>
      <w:r w:rsidR="00F2206C" w:rsidRPr="00014EF4">
        <w:rPr>
          <w:rFonts w:ascii="Times New Roman" w:hAnsi="Times New Roman" w:cs="Times New Roman"/>
        </w:rPr>
        <w:fldChar w:fldCharType="separate"/>
      </w:r>
      <w:r w:rsidR="009B4160" w:rsidRPr="009B4160">
        <w:rPr>
          <w:rFonts w:ascii="Times New Roman" w:hAnsi="Times New Roman" w:cs="Times New Roman"/>
          <w:noProof/>
        </w:rPr>
        <w:t>[1]</w:t>
      </w:r>
      <w:r w:rsidR="00F2206C" w:rsidRPr="00014EF4">
        <w:rPr>
          <w:rFonts w:ascii="Times New Roman" w:hAnsi="Times New Roman" w:cs="Times New Roman"/>
        </w:rPr>
        <w:fldChar w:fldCharType="end"/>
      </w:r>
      <w:r w:rsidR="002B7343" w:rsidRPr="00014EF4">
        <w:rPr>
          <w:rFonts w:ascii="Times New Roman" w:hAnsi="Times New Roman" w:cs="Times New Roman"/>
        </w:rPr>
        <w:t>.</w:t>
      </w:r>
      <w:r w:rsidRPr="00014EF4">
        <w:rPr>
          <w:rFonts w:ascii="Times New Roman" w:hAnsi="Times New Roman" w:cs="Times New Roman"/>
        </w:rPr>
        <w:t xml:space="preserve"> </w:t>
      </w:r>
    </w:p>
    <w:p w14:paraId="09D2DC64" w14:textId="77777777" w:rsidR="007A4270" w:rsidRPr="00014EF4" w:rsidRDefault="007A4270" w:rsidP="00386B99">
      <w:pPr>
        <w:rPr>
          <w:rFonts w:ascii="Times New Roman" w:hAnsi="Times New Roman" w:cs="Times New Roman"/>
        </w:rPr>
      </w:pPr>
    </w:p>
    <w:p w14:paraId="0D027464" w14:textId="11A58D00" w:rsidR="00A67BF3" w:rsidRPr="00014EF4" w:rsidRDefault="00A67BF3" w:rsidP="00386B99">
      <w:pPr>
        <w:rPr>
          <w:rFonts w:ascii="Times New Roman" w:hAnsi="Times New Roman" w:cs="Times New Roman"/>
          <w:b/>
        </w:rPr>
      </w:pPr>
      <w:r w:rsidRPr="00014EF4">
        <w:rPr>
          <w:rFonts w:ascii="Times New Roman" w:hAnsi="Times New Roman" w:cs="Times New Roman"/>
        </w:rPr>
        <w:t xml:space="preserve">The Nix-TB study enrolled </w:t>
      </w:r>
      <w:r w:rsidR="00F2206C" w:rsidRPr="00014EF4">
        <w:rPr>
          <w:rFonts w:ascii="Times New Roman" w:hAnsi="Times New Roman" w:cs="Times New Roman"/>
        </w:rPr>
        <w:t xml:space="preserve">patients </w:t>
      </w:r>
      <w:r w:rsidRPr="00014EF4">
        <w:rPr>
          <w:rFonts w:ascii="Times New Roman" w:hAnsi="Times New Roman" w:cs="Times New Roman"/>
        </w:rPr>
        <w:t>presenting with one of the following three pulmonary TB conditions: i. XDR-TB with documented resistance to isoniazid, rifamycins, a fluoroquinolone and an injectable, ii. MDR-TB with documented non-response to treatment with best available regimen for 6 months or more prior to enrollment who in the opinion of the investigator have been adherent to treatment and will be adherent to study regimen (</w:t>
      </w:r>
      <w:r w:rsidR="00A16C05" w:rsidRPr="00014EF4">
        <w:rPr>
          <w:rFonts w:ascii="Times New Roman" w:hAnsi="Times New Roman" w:cs="Times New Roman"/>
        </w:rPr>
        <w:t xml:space="preserve">non-responsive </w:t>
      </w:r>
      <w:r w:rsidRPr="00014EF4">
        <w:rPr>
          <w:rFonts w:ascii="Times New Roman" w:hAnsi="Times New Roman" w:cs="Times New Roman"/>
        </w:rPr>
        <w:t xml:space="preserve">MDR-TB), or iii. MDR-TB with documented intolerance to p-aminosalicylic acid, ethionamide, aminoglycosides or </w:t>
      </w:r>
      <w:r w:rsidR="005550BC" w:rsidRPr="00014EF4">
        <w:rPr>
          <w:rFonts w:ascii="Times New Roman" w:hAnsi="Times New Roman" w:cs="Times New Roman"/>
        </w:rPr>
        <w:t>fluoroquinolones</w:t>
      </w:r>
      <w:r w:rsidRPr="00014EF4">
        <w:rPr>
          <w:rFonts w:ascii="Times New Roman" w:hAnsi="Times New Roman" w:cs="Times New Roman"/>
        </w:rPr>
        <w:t xml:space="preserve"> (</w:t>
      </w:r>
      <w:r w:rsidR="00A16C05" w:rsidRPr="00014EF4">
        <w:rPr>
          <w:rFonts w:ascii="Times New Roman" w:hAnsi="Times New Roman" w:cs="Times New Roman"/>
        </w:rPr>
        <w:t xml:space="preserve">treatment intolerant </w:t>
      </w:r>
      <w:r w:rsidRPr="00014EF4">
        <w:rPr>
          <w:rFonts w:ascii="Times New Roman" w:hAnsi="Times New Roman" w:cs="Times New Roman"/>
        </w:rPr>
        <w:t xml:space="preserve">MDR-TB). All pulmonary TB conditions must have documented culture positive (for mycobacterium tuberculosis) results within 3 months prior to screening. Males or nonpregnant females of at least 14 years of age and 30 kg body weight were included in the study. Participants were required to provide consent to HIV testing. Patient medical history, demographic data, previous and concomitant medication were collected prior to start of treatment. </w:t>
      </w:r>
      <w:r w:rsidR="00D872BD">
        <w:rPr>
          <w:rFonts w:ascii="Times New Roman" w:hAnsi="Times New Roman" w:cs="Times New Roman"/>
        </w:rPr>
        <w:t>P</w:t>
      </w:r>
      <w:r w:rsidR="00D872BD" w:rsidRPr="00FE5EFB">
        <w:rPr>
          <w:rFonts w:ascii="Times New Roman" w:hAnsi="Times New Roman" w:cs="Times New Roman"/>
        </w:rPr>
        <w:t>atients with baseline peripheral</w:t>
      </w:r>
      <w:r w:rsidR="00D872BD">
        <w:rPr>
          <w:rFonts w:ascii="Times New Roman" w:hAnsi="Times New Roman" w:cs="Times New Roman"/>
        </w:rPr>
        <w:t xml:space="preserve"> </w:t>
      </w:r>
      <w:r w:rsidR="00D872BD" w:rsidRPr="00FE5EFB">
        <w:rPr>
          <w:rFonts w:ascii="Times New Roman" w:hAnsi="Times New Roman" w:cs="Times New Roman"/>
        </w:rPr>
        <w:t xml:space="preserve">neuropathy of </w:t>
      </w:r>
      <m:oMath>
        <m:r>
          <w:rPr>
            <w:rFonts w:ascii="Cambria Math" w:hAnsi="Cambria Math" w:cs="Times New Roman"/>
          </w:rPr>
          <m:t>≥</m:t>
        </m:r>
      </m:oMath>
      <w:r w:rsidR="00D872BD" w:rsidRPr="00FE5EFB">
        <w:rPr>
          <w:rFonts w:ascii="Times New Roman" w:hAnsi="Times New Roman" w:cs="Times New Roman"/>
        </w:rPr>
        <w:t>grade 3</w:t>
      </w:r>
      <w:r w:rsidR="00D872BD">
        <w:rPr>
          <w:rFonts w:ascii="Times New Roman" w:hAnsi="Times New Roman" w:cs="Times New Roman"/>
        </w:rPr>
        <w:t xml:space="preserve"> and patients with </w:t>
      </w:r>
      <m:oMath>
        <m:r>
          <w:rPr>
            <w:rFonts w:ascii="Cambria Math" w:hAnsi="Cambria Math" w:cs="Times New Roman"/>
          </w:rPr>
          <m:t>≥</m:t>
        </m:r>
      </m:oMath>
      <w:r w:rsidR="00D872BD">
        <w:rPr>
          <w:rFonts w:ascii="Times New Roman" w:hAnsi="Times New Roman" w:cs="Times New Roman"/>
        </w:rPr>
        <w:t xml:space="preserve">grade </w:t>
      </w:r>
      <w:r w:rsidR="00B879FF">
        <w:rPr>
          <w:rFonts w:ascii="Times New Roman" w:hAnsi="Times New Roman" w:cs="Times New Roman"/>
        </w:rPr>
        <w:t>3</w:t>
      </w:r>
      <w:r w:rsidR="00D872BD">
        <w:rPr>
          <w:rFonts w:ascii="Times New Roman" w:hAnsi="Times New Roman" w:cs="Times New Roman"/>
        </w:rPr>
        <w:t xml:space="preserve"> anemia </w:t>
      </w:r>
      <w:r w:rsidR="00D872BD" w:rsidRPr="00F8013F">
        <w:rPr>
          <w:rFonts w:ascii="Times New Roman" w:hAnsi="Times New Roman" w:cs="Times New Roman"/>
        </w:rPr>
        <w:t>(&lt;8.0 g/dL)</w:t>
      </w:r>
      <w:r w:rsidR="00D872BD">
        <w:rPr>
          <w:rFonts w:ascii="Times New Roman" w:hAnsi="Times New Roman" w:cs="Times New Roman"/>
        </w:rPr>
        <w:t xml:space="preserve"> or thrombocytopenia (</w:t>
      </w:r>
      <w:r w:rsidR="00B879FF">
        <w:rPr>
          <w:rFonts w:ascii="Times New Roman" w:hAnsi="Times New Roman" w:cs="Times New Roman"/>
        </w:rPr>
        <w:t>&lt;</w:t>
      </w:r>
      <w:r w:rsidR="00E36B38">
        <w:rPr>
          <w:rFonts w:ascii="Times New Roman" w:hAnsi="Times New Roman" w:cs="Times New Roman"/>
        </w:rPr>
        <w:t>7</w:t>
      </w:r>
      <w:r w:rsidR="00D872BD">
        <w:rPr>
          <w:rFonts w:ascii="Times New Roman" w:hAnsi="Times New Roman" w:cs="Times New Roman"/>
        </w:rPr>
        <w:t>5x10</w:t>
      </w:r>
      <w:r w:rsidR="00D872BD">
        <w:rPr>
          <w:rFonts w:ascii="Times New Roman" w:hAnsi="Times New Roman" w:cs="Times New Roman"/>
          <w:vertAlign w:val="superscript"/>
        </w:rPr>
        <w:t>9/</w:t>
      </w:r>
      <w:r w:rsidR="00D872BD">
        <w:rPr>
          <w:rFonts w:ascii="Times New Roman" w:hAnsi="Times New Roman" w:cs="Times New Roman"/>
        </w:rPr>
        <w:t>/L) were excluded</w:t>
      </w:r>
      <w:r w:rsidR="00D872BD" w:rsidRPr="00FE5EFB">
        <w:rPr>
          <w:rFonts w:ascii="Times New Roman" w:hAnsi="Times New Roman" w:cs="Times New Roman"/>
        </w:rPr>
        <w:t>.</w:t>
      </w:r>
      <w:r w:rsidR="00D872BD">
        <w:rPr>
          <w:rFonts w:ascii="Times New Roman" w:hAnsi="Times New Roman" w:cs="Times New Roman"/>
        </w:rPr>
        <w:t xml:space="preserve"> </w:t>
      </w:r>
      <w:r w:rsidRPr="00014EF4">
        <w:rPr>
          <w:rFonts w:ascii="Times New Roman" w:hAnsi="Times New Roman" w:cs="Times New Roman"/>
        </w:rPr>
        <w:t>Additional inclusion and exclusion criteria details are available in the original study protocol</w:t>
      </w:r>
      <w:r w:rsidR="00F2206C" w:rsidRPr="00014EF4">
        <w:rPr>
          <w:rFonts w:ascii="Times New Roman" w:hAnsi="Times New Roman" w:cs="Times New Roman"/>
        </w:rPr>
        <w:fldChar w:fldCharType="begin" w:fldLock="1"/>
      </w:r>
      <w:r w:rsidR="0008531D">
        <w:rPr>
          <w:rFonts w:ascii="Times New Roman" w:hAnsi="Times New Roman" w:cs="Times New Roman"/>
        </w:rPr>
        <w:instrText>ADDIN CSL_CITATION {"citationItems":[{"id":"ITEM-1","itemData":{"DOI":"10.1056/NEJMoa1901814","ISSN":"0028-4793","abstract":"BACKGROUND Patients with highly drug-resistant forms of tuberculosis have limited treatment options and historically have had poor outcomes. METHODS In an open-label, single-group study in which follow-up is ongoing at three South African sites, we investigated treatment with three oral drugs - bedaquiline, pretomanid, and linezolid - that have bactericidal activity against tuberculosis and to which there is little preexisting resistance. We evaluated the safety and efficacy of the drug combination for 26 weeks in patients with extensively drug-resistant tuberculosis and patients with multidrug-resistant tuberculosis that was not responsive to treatment or for which a second-line regimen had been discontinued because of side effects. The primary end point was the incidence of an unfavorable outcome, defined as treatment failure (bacteriologic or clinical) or relapse during follow-up, which continued until 6 months after the end of treatment. Patients were classified as having a favorable outcome at 6 months if they had resolution of clinical disease, a negative culture status, and had not already been classified as having had an unfavorable outcome. Other efficacy end points and safety were also evaluated. RESULTS A total of 109 patients were enrolled in the study and were included in the evaluation of efficacy and safety end points. At 6 months after the end of treatment in the intention-to-treat analysis, 11 patients (10%) had an unfavorable outcome and 98 patients (90%; 95% confidence interval, 83 to 95) had a favorable outcome. The 11 unfavorable outcomes were 7 deaths (6 during treatment and 1 from an unknown cause during follow-up), 1 withdrawal of consent during treatment, 2 relapses during follow-up, and 1 loss to follow-up. The expected linezolid toxic effects of peripheral neuropathy (occurring in 81% of patients) and myelosuppression (48%), although common, were manageable, often leading to dose reductions or interruptions in treatment with linezolid. CONCLUSIONS The combination of bedaquiline, pretomanid, and linezolid led to a favorable outcome at 6 months after the end of therapy in a high percentage of patients with highly drug-resistant forms of tuberculosis; some associated toxic effects were observed. (Funded by the TB Alliance and others; ClinicalTrials.gov number, NCT02333799.).","author":[{"dropping-particle":"","family":"Conradie","given":"Francesca","non-dropping-particle":"","parse-names":false,"suffix":""},{"dropping-particle":"","family":"Diacon","given":"Andreas H.","non-dropping-particle":"","parse-names":false,"suffix":""},{"dropping-particle":"","family":"Ngubane","given":"Nosipho","non-dropping-particle":"","parse-names":false,"suffix":""},{"dropping-particle":"","family":"Howell","given":"Pauline","non-dropping-particle":"","parse-names":false,"suffix":""},{"dropping-particle":"","family":"Everitt","given":"Daniel","non-dropping-particle":"","parse-names":false,"suffix":""},{"dropping-particle":"","family":"Crook","given":"Angela M.","non-dropping-particle":"","parse-names":false,"suffix":""},{"dropping-particle":"","family":"Mendel","given":"Carl M.","non-dropping-particle":"","parse-names":false,"suffix":""},{"dropping-particle":"","family":"Egizi","given":"Erica","non-dropping-particle":"","parse-names":false,"suffix":""},{"dropping-particle":"","family":"Moreira","given":"Joanna","non-dropping-particle":"","parse-names":false,"suffix":""},{"dropping-particle":"","family":"Timm","given":"Juliano","non-dropping-particle":"","parse-names":false,"suffix":""},{"dropping-particle":"","family":"McHugh","given":"Timothy D.","non-dropping-particle":"","parse-names":false,"suffix":""},{"dropping-particle":"","family":"Wills","given":"Genevieve H.","non-dropping-particle":"","parse-names":false,"suffix":""},{"dropping-particle":"","family":"Bateson","given":"Anna","non-dropping-particle":"","parse-names":false,"suffix":""},{"dropping-particle":"","family":"Hunt","given":"Robert","non-dropping-particle":"","parse-names":false,"suffix":""},{"dropping-particle":"","family":"Niekerk","given":"Christo","non-dropping-particle":"Van","parse-names":false,"suffix":""},{"dropping-particle":"","family":"Li","given":"Mengchun","non-dropping-particle":"","parse-names":false,"suffix":""},{"dropping-particle":"","family":"Olugbosi","given":"Morounfolu","non-dropping-particle":"","parse-names":false,"suffix":""},{"dropping-particle":"","family":"Spigelman","given":"Melvin","non-dropping-particle":"","parse-names":false,"suffix":""}],"container-title":"New England Journal of Medicine","id":"ITEM-1","issue":"10","issued":{"date-parts":[["2020"]]},"page":"893-902","title":"Treatment of Highly Drug-Resistant Pulmonary Tuberculosis","type":"article-journal","volume":"382"},"uris":["http://www.mendeley.com/documents/?uuid=eacd8f3f-fe6e-328e-8c17-95fd06f15afc"]}],"mendeley":{"formattedCitation":"[1]","plainTextFormattedCitation":"[1]","previouslyFormattedCitation":"[1]"},"properties":{"noteIndex":0},"schema":"https://github.com/citation-style-language/schema/raw/master/csl-citation.json"}</w:instrText>
      </w:r>
      <w:r w:rsidR="00F2206C" w:rsidRPr="00014EF4">
        <w:rPr>
          <w:rFonts w:ascii="Times New Roman" w:hAnsi="Times New Roman" w:cs="Times New Roman"/>
        </w:rPr>
        <w:fldChar w:fldCharType="separate"/>
      </w:r>
      <w:r w:rsidR="009B4160" w:rsidRPr="009B4160">
        <w:rPr>
          <w:rFonts w:ascii="Times New Roman" w:hAnsi="Times New Roman" w:cs="Times New Roman"/>
          <w:noProof/>
        </w:rPr>
        <w:t>[1]</w:t>
      </w:r>
      <w:r w:rsidR="00F2206C" w:rsidRPr="00014EF4">
        <w:rPr>
          <w:rFonts w:ascii="Times New Roman" w:hAnsi="Times New Roman" w:cs="Times New Roman"/>
        </w:rPr>
        <w:fldChar w:fldCharType="end"/>
      </w:r>
      <w:r w:rsidR="002B7343" w:rsidRPr="00014EF4">
        <w:rPr>
          <w:rFonts w:ascii="Times New Roman" w:hAnsi="Times New Roman" w:cs="Times New Roman"/>
        </w:rPr>
        <w:t>.</w:t>
      </w:r>
      <w:r w:rsidRPr="00014EF4">
        <w:rPr>
          <w:rFonts w:ascii="Times New Roman" w:hAnsi="Times New Roman" w:cs="Times New Roman"/>
        </w:rPr>
        <w:t xml:space="preserve"> </w:t>
      </w:r>
      <w:r w:rsidR="00C5747C">
        <w:rPr>
          <w:rFonts w:ascii="Times New Roman" w:hAnsi="Times New Roman" w:cs="Times New Roman"/>
        </w:rPr>
        <w:t xml:space="preserve">No overlapping toxicities are expected between linezolid, </w:t>
      </w:r>
      <w:r w:rsidR="00C5747C" w:rsidRPr="00014EF4">
        <w:rPr>
          <w:rFonts w:ascii="Times New Roman" w:hAnsi="Times New Roman" w:cs="Times New Roman"/>
        </w:rPr>
        <w:t>bedaquiline</w:t>
      </w:r>
      <w:r w:rsidR="00C5747C">
        <w:rPr>
          <w:rFonts w:ascii="Times New Roman" w:hAnsi="Times New Roman" w:cs="Times New Roman"/>
        </w:rPr>
        <w:t xml:space="preserve">, or </w:t>
      </w:r>
      <w:r w:rsidR="00C5747C" w:rsidRPr="00014EF4">
        <w:rPr>
          <w:rFonts w:ascii="Times New Roman" w:hAnsi="Times New Roman" w:cs="Times New Roman"/>
        </w:rPr>
        <w:t>pretomanid</w:t>
      </w:r>
      <w:r w:rsidR="00C5747C">
        <w:rPr>
          <w:rFonts w:ascii="Times New Roman" w:hAnsi="Times New Roman" w:cs="Times New Roman"/>
        </w:rPr>
        <w:t xml:space="preserve"> </w:t>
      </w:r>
      <w:r w:rsidR="00C5747C">
        <w:rPr>
          <w:rFonts w:ascii="Times New Roman" w:hAnsi="Times New Roman" w:cs="Times New Roman"/>
        </w:rPr>
        <w:fldChar w:fldCharType="begin" w:fldLock="1"/>
      </w:r>
      <w:r w:rsidR="00C5747C">
        <w:rPr>
          <w:rFonts w:ascii="Times New Roman" w:hAnsi="Times New Roman" w:cs="Times New Roman"/>
        </w:rPr>
        <w:instrText>ADDIN CSL_CITATION {"citationItems":[{"id":"ITEM-1","itemData":{"id":"ITEM-1","issued":{"date-parts":[["2016"]]},"title":"FDA Center for Drug Evaluation and Research Appication Number: 212862Orig1s1000","type":"report"},"uris":["http://www.mendeley.com/documents/?uuid=7768760c-92c5-4445-b53c-f5eb5cb7828a"]}],"mendeley":{"formattedCitation":"[2]","plainTextFormattedCitation":"[2]","previouslyFormattedCitation":"[2]"},"properties":{"noteIndex":0},"schema":"https://github.com/citation-style-language/schema/raw/master/csl-citation.json"}</w:instrText>
      </w:r>
      <w:r w:rsidR="00C5747C">
        <w:rPr>
          <w:rFonts w:ascii="Times New Roman" w:hAnsi="Times New Roman" w:cs="Times New Roman"/>
        </w:rPr>
        <w:fldChar w:fldCharType="separate"/>
      </w:r>
      <w:r w:rsidR="00C5747C" w:rsidRPr="00255B0B">
        <w:rPr>
          <w:rFonts w:ascii="Times New Roman" w:hAnsi="Times New Roman" w:cs="Times New Roman"/>
          <w:noProof/>
        </w:rPr>
        <w:t>[2]</w:t>
      </w:r>
      <w:r w:rsidR="00C5747C">
        <w:rPr>
          <w:rFonts w:ascii="Times New Roman" w:hAnsi="Times New Roman" w:cs="Times New Roman"/>
        </w:rPr>
        <w:fldChar w:fldCharType="end"/>
      </w:r>
      <w:r w:rsidR="00C5747C">
        <w:rPr>
          <w:rFonts w:ascii="Times New Roman" w:hAnsi="Times New Roman" w:cs="Times New Roman"/>
        </w:rPr>
        <w:t xml:space="preserve">. </w:t>
      </w:r>
    </w:p>
    <w:p w14:paraId="4AF1FCEA" w14:textId="77777777" w:rsidR="007A4270" w:rsidRPr="00014EF4" w:rsidRDefault="007A4270" w:rsidP="00386B99">
      <w:pPr>
        <w:rPr>
          <w:rFonts w:ascii="Times New Roman" w:hAnsi="Times New Roman" w:cs="Times New Roman"/>
          <w:b/>
        </w:rPr>
      </w:pPr>
    </w:p>
    <w:p w14:paraId="3237CDF6" w14:textId="27DFACB9" w:rsidR="00A67BF3" w:rsidRPr="006941F2" w:rsidRDefault="00A67BF3" w:rsidP="006941F2">
      <w:pPr>
        <w:pStyle w:val="Heading2"/>
        <w:rPr>
          <w:rFonts w:ascii="Times New Roman" w:hAnsi="Times New Roman" w:cs="Times New Roman"/>
          <w:b/>
          <w:color w:val="auto"/>
          <w:sz w:val="24"/>
          <w:szCs w:val="24"/>
        </w:rPr>
      </w:pPr>
      <w:r w:rsidRPr="006941F2">
        <w:rPr>
          <w:rFonts w:ascii="Times New Roman" w:hAnsi="Times New Roman" w:cs="Times New Roman"/>
          <w:b/>
          <w:color w:val="auto"/>
          <w:sz w:val="24"/>
          <w:szCs w:val="24"/>
        </w:rPr>
        <w:t xml:space="preserve">Drug administration </w:t>
      </w:r>
    </w:p>
    <w:p w14:paraId="46AB24BE" w14:textId="171EEF07" w:rsidR="007A4270" w:rsidRPr="00014EF4" w:rsidRDefault="00A67BF3" w:rsidP="00386B99">
      <w:pPr>
        <w:rPr>
          <w:rFonts w:ascii="Times New Roman" w:hAnsi="Times New Roman" w:cs="Times New Roman"/>
        </w:rPr>
      </w:pPr>
      <w:r w:rsidRPr="00014EF4">
        <w:rPr>
          <w:rFonts w:ascii="Times New Roman" w:hAnsi="Times New Roman" w:cs="Times New Roman"/>
        </w:rPr>
        <w:t xml:space="preserve">Participants were treated with bedaquiline at 400 mg </w:t>
      </w:r>
      <w:r w:rsidR="00CC77DE" w:rsidRPr="00014EF4">
        <w:rPr>
          <w:rFonts w:ascii="Times New Roman" w:hAnsi="Times New Roman" w:cs="Times New Roman"/>
        </w:rPr>
        <w:t>once daily</w:t>
      </w:r>
      <w:r w:rsidRPr="00014EF4">
        <w:rPr>
          <w:rFonts w:ascii="Times New Roman" w:hAnsi="Times New Roman" w:cs="Times New Roman"/>
        </w:rPr>
        <w:t xml:space="preserve"> for 2 weeks then 200 mg three times per week, plus pretomanid at 200 mg </w:t>
      </w:r>
      <w:r w:rsidR="00CC77DE" w:rsidRPr="00014EF4">
        <w:rPr>
          <w:rFonts w:ascii="Times New Roman" w:hAnsi="Times New Roman" w:cs="Times New Roman"/>
        </w:rPr>
        <w:t>once daily</w:t>
      </w:r>
      <w:r w:rsidRPr="00014EF4">
        <w:rPr>
          <w:rFonts w:ascii="Times New Roman" w:hAnsi="Times New Roman" w:cs="Times New Roman"/>
        </w:rPr>
        <w:t xml:space="preserve">, plus linezolid 1200 mg daily as 600 mg </w:t>
      </w:r>
      <w:r w:rsidR="00CC77DE" w:rsidRPr="00014EF4">
        <w:rPr>
          <w:rFonts w:ascii="Times New Roman" w:hAnsi="Times New Roman" w:cs="Times New Roman"/>
        </w:rPr>
        <w:t>twice daily</w:t>
      </w:r>
      <w:r w:rsidRPr="00014EF4">
        <w:rPr>
          <w:rFonts w:ascii="Times New Roman" w:hAnsi="Times New Roman" w:cs="Times New Roman"/>
        </w:rPr>
        <w:t xml:space="preserve"> for the first 44 participants (according to initial protocol) and 1200 mg </w:t>
      </w:r>
      <w:r w:rsidR="00CC77DE" w:rsidRPr="00014EF4">
        <w:rPr>
          <w:rFonts w:ascii="Times New Roman" w:hAnsi="Times New Roman" w:cs="Times New Roman"/>
        </w:rPr>
        <w:t>once</w:t>
      </w:r>
      <w:r w:rsidRPr="00014EF4">
        <w:rPr>
          <w:rFonts w:ascii="Times New Roman" w:hAnsi="Times New Roman" w:cs="Times New Roman"/>
        </w:rPr>
        <w:t xml:space="preserve"> for the remaining 65 participants (according to amended protocol). The protocol was amended to require all participants to begin treatment with linezolid at the 1200 mg </w:t>
      </w:r>
      <w:r w:rsidR="00CC77DE" w:rsidRPr="00014EF4">
        <w:rPr>
          <w:rFonts w:ascii="Times New Roman" w:hAnsi="Times New Roman" w:cs="Times New Roman"/>
        </w:rPr>
        <w:t>once daily</w:t>
      </w:r>
      <w:r w:rsidRPr="00014EF4">
        <w:rPr>
          <w:rFonts w:ascii="Times New Roman" w:hAnsi="Times New Roman" w:cs="Times New Roman"/>
        </w:rPr>
        <w:t xml:space="preserve"> dose because toxicity was thought to be caused by mitochondrial toxicity and may be lessened by lowering the time the linezolid concentration is greater than the threshold for mitochondrial toxicity. Per discretion of the investigator, for suspected linezolid-induced toxicities, linezolid could be dose reduced, interrupted, or discontinued while participants remained on bedaquiline and pretomanid. Linezolid 1200 mg daily dose was given for at least four consecutive weeks before linezolid was discontinued</w:t>
      </w:r>
      <w:r w:rsidR="00F2206C" w:rsidRPr="00014EF4">
        <w:rPr>
          <w:rFonts w:ascii="Times New Roman" w:hAnsi="Times New Roman" w:cs="Times New Roman"/>
        </w:rPr>
        <w:fldChar w:fldCharType="begin" w:fldLock="1"/>
      </w:r>
      <w:r w:rsidR="0008531D">
        <w:rPr>
          <w:rFonts w:ascii="Times New Roman" w:hAnsi="Times New Roman" w:cs="Times New Roman"/>
        </w:rPr>
        <w:instrText>ADDIN CSL_CITATION {"citationItems":[{"id":"ITEM-1","itemData":{"DOI":"10.1056/NEJMoa1901814","ISSN":"0028-4793","abstract":"BACKGROUND Patients with highly drug-resistant forms of tuberculosis have limited treatment options and historically have had poor outcomes. METHODS In an open-label, single-group study in which follow-up is ongoing at three South African sites, we investigated treatment with three oral drugs - bedaquiline, pretomanid, and linezolid - that have bactericidal activity against tuberculosis and to which there is little preexisting resistance. We evaluated the safety and efficacy of the drug combination for 26 weeks in patients with extensively drug-resistant tuberculosis and patients with multidrug-resistant tuberculosis that was not responsive to treatment or for which a second-line regimen had been discontinued because of side effects. The primary end point was the incidence of an unfavorable outcome, defined as treatment failure (bacteriologic or clinical) or relapse during follow-up, which continued until 6 months after the end of treatment. Patients were classified as having a favorable outcome at 6 months if they had resolution of clinical disease, a negative culture status, and had not already been classified as having had an unfavorable outcome. Other efficacy end points and safety were also evaluated. RESULTS A total of 109 patients were enrolled in the study and were included in the evaluation of efficacy and safety end points. At 6 months after the end of treatment in the intention-to-treat analysis, 11 patients (10%) had an unfavorable outcome and 98 patients (90%; 95% confidence interval, 83 to 95) had a favorable outcome. The 11 unfavorable outcomes were 7 deaths (6 during treatment and 1 from an unknown cause during follow-up), 1 withdrawal of consent during treatment, 2 relapses during follow-up, and 1 loss to follow-up. The expected linezolid toxic effects of peripheral neuropathy (occurring in 81% of patients) and myelosuppression (48%), although common, were manageable, often leading to dose reductions or interruptions in treatment with linezolid. CONCLUSIONS The combination of bedaquiline, pretomanid, and linezolid led to a favorable outcome at 6 months after the end of therapy in a high percentage of patients with highly drug-resistant forms of tuberculosis; some associated toxic effects were observed. (Funded by the TB Alliance and others; ClinicalTrials.gov number, NCT02333799.).","author":[{"dropping-particle":"","family":"Conradie","given":"Francesca","non-dropping-particle":"","parse-names":false,"suffix":""},{"dropping-particle":"","family":"Diacon","given":"Andreas H.","non-dropping-particle":"","parse-names":false,"suffix":""},{"dropping-particle":"","family":"Ngubane","given":"Nosipho","non-dropping-particle":"","parse-names":false,"suffix":""},{"dropping-particle":"","family":"Howell","given":"Pauline","non-dropping-particle":"","parse-names":false,"suffix":""},{"dropping-particle":"","family":"Everitt","given":"Daniel","non-dropping-particle":"","parse-names":false,"suffix":""},{"dropping-particle":"","family":"Crook","given":"Angela M.","non-dropping-particle":"","parse-names":false,"suffix":""},{"dropping-particle":"","family":"Mendel","given":"Carl M.","non-dropping-particle":"","parse-names":false,"suffix":""},{"dropping-particle":"","family":"Egizi","given":"Erica","non-dropping-particle":"","parse-names":false,"suffix":""},{"dropping-particle":"","family":"Moreira","given":"Joanna","non-dropping-particle":"","parse-names":false,"suffix":""},{"dropping-particle":"","family":"Timm","given":"Juliano","non-dropping-particle":"","parse-names":false,"suffix":""},{"dropping-particle":"","family":"McHugh","given":"Timothy D.","non-dropping-particle":"","parse-names":false,"suffix":""},{"dropping-particle":"","family":"Wills","given":"Genevieve H.","non-dropping-particle":"","parse-names":false,"suffix":""},{"dropping-particle":"","family":"Bateson","given":"Anna","non-dropping-particle":"","parse-names":false,"suffix":""},{"dropping-particle":"","family":"Hunt","given":"Robert","non-dropping-particle":"","parse-names":false,"suffix":""},{"dropping-particle":"","family":"Niekerk","given":"Christo","non-dropping-particle":"Van","parse-names":false,"suffix":""},{"dropping-particle":"","family":"Li","given":"Mengchun","non-dropping-particle":"","parse-names":false,"suffix":""},{"dropping-particle":"","family":"Olugbosi","given":"Morounfolu","non-dropping-particle":"","parse-names":false,"suffix":""},{"dropping-particle":"","family":"Spigelman","given":"Melvin","non-dropping-particle":"","parse-names":false,"suffix":""}],"container-title":"New England Journal of Medicine","id":"ITEM-1","issue":"10","issued":{"date-parts":[["2020"]]},"page":"893-902","title":"Treatment of Highly Drug-Resistant Pulmonary Tuberculosis","type":"article-journal","volume":"382"},"uris":["http://www.mendeley.com/documents/?uuid=eacd8f3f-fe6e-328e-8c17-95fd06f15afc"]}],"mendeley":{"formattedCitation":"[1]","plainTextFormattedCitation":"[1]","previouslyFormattedCitation":"[1]"},"properties":{"noteIndex":0},"schema":"https://github.com/citation-style-language/schema/raw/master/csl-citation.json"}</w:instrText>
      </w:r>
      <w:r w:rsidR="00F2206C" w:rsidRPr="00014EF4">
        <w:rPr>
          <w:rFonts w:ascii="Times New Roman" w:hAnsi="Times New Roman" w:cs="Times New Roman"/>
        </w:rPr>
        <w:fldChar w:fldCharType="separate"/>
      </w:r>
      <w:r w:rsidR="009B4160" w:rsidRPr="009B4160">
        <w:rPr>
          <w:rFonts w:ascii="Times New Roman" w:hAnsi="Times New Roman" w:cs="Times New Roman"/>
          <w:noProof/>
        </w:rPr>
        <w:t>[1]</w:t>
      </w:r>
      <w:r w:rsidR="00F2206C" w:rsidRPr="00014EF4">
        <w:rPr>
          <w:rFonts w:ascii="Times New Roman" w:hAnsi="Times New Roman" w:cs="Times New Roman"/>
        </w:rPr>
        <w:fldChar w:fldCharType="end"/>
      </w:r>
      <w:r w:rsidR="002B7343" w:rsidRPr="00014EF4">
        <w:rPr>
          <w:rFonts w:ascii="Times New Roman" w:hAnsi="Times New Roman" w:cs="Times New Roman"/>
        </w:rPr>
        <w:t>.</w:t>
      </w:r>
      <w:r w:rsidRPr="00014EF4">
        <w:rPr>
          <w:rFonts w:ascii="Times New Roman" w:hAnsi="Times New Roman" w:cs="Times New Roman"/>
        </w:rPr>
        <w:t xml:space="preserve"> Time, duration, and dose reductions of all dose adjustments for each participant </w:t>
      </w:r>
      <w:r w:rsidR="004833D1">
        <w:rPr>
          <w:rFonts w:ascii="Times New Roman" w:hAnsi="Times New Roman" w:cs="Times New Roman"/>
        </w:rPr>
        <w:t>were</w:t>
      </w:r>
      <w:r w:rsidR="004833D1" w:rsidRPr="00014EF4">
        <w:rPr>
          <w:rFonts w:ascii="Times New Roman" w:hAnsi="Times New Roman" w:cs="Times New Roman"/>
        </w:rPr>
        <w:t xml:space="preserve"> </w:t>
      </w:r>
      <w:r w:rsidRPr="00014EF4">
        <w:rPr>
          <w:rFonts w:ascii="Times New Roman" w:hAnsi="Times New Roman" w:cs="Times New Roman"/>
        </w:rPr>
        <w:t xml:space="preserve">recorded and used for model building in our analysis. </w:t>
      </w:r>
      <w:r w:rsidR="004833D1" w:rsidRPr="00014EF4">
        <w:rPr>
          <w:rFonts w:ascii="Times New Roman" w:hAnsi="Times New Roman" w:cs="Times New Roman"/>
        </w:rPr>
        <w:t>Participants who completed treatment returned for follow-up visits 1, 2, and 3 months after the end of treatment then every 3 months up to 24 months after end of treatment.</w:t>
      </w:r>
    </w:p>
    <w:p w14:paraId="1C4AADF0" w14:textId="77777777" w:rsidR="007A4270" w:rsidRPr="00014EF4" w:rsidRDefault="007A4270" w:rsidP="00386B99">
      <w:pPr>
        <w:rPr>
          <w:rFonts w:ascii="Times New Roman" w:hAnsi="Times New Roman" w:cs="Times New Roman"/>
          <w:b/>
        </w:rPr>
      </w:pPr>
    </w:p>
    <w:p w14:paraId="6E46AC24" w14:textId="425A4660" w:rsidR="00A67BF3" w:rsidRPr="006941F2" w:rsidRDefault="00A67BF3" w:rsidP="006941F2">
      <w:pPr>
        <w:pStyle w:val="Heading2"/>
        <w:rPr>
          <w:rFonts w:ascii="Times New Roman" w:hAnsi="Times New Roman" w:cs="Times New Roman"/>
          <w:b/>
          <w:color w:val="auto"/>
          <w:sz w:val="24"/>
          <w:szCs w:val="24"/>
        </w:rPr>
      </w:pPr>
      <w:r w:rsidRPr="006941F2">
        <w:rPr>
          <w:rFonts w:ascii="Times New Roman" w:hAnsi="Times New Roman" w:cs="Times New Roman"/>
          <w:b/>
          <w:color w:val="auto"/>
          <w:sz w:val="24"/>
          <w:szCs w:val="24"/>
        </w:rPr>
        <w:t>PK and safety data</w:t>
      </w:r>
    </w:p>
    <w:p w14:paraId="68700DC9" w14:textId="7A1EDC69" w:rsidR="004833D1" w:rsidRDefault="00A67BF3" w:rsidP="00386B99">
      <w:pPr>
        <w:rPr>
          <w:rFonts w:ascii="Times New Roman" w:hAnsi="Times New Roman" w:cs="Times New Roman"/>
        </w:rPr>
      </w:pPr>
      <w:r w:rsidRPr="00014EF4">
        <w:rPr>
          <w:rFonts w:ascii="Times New Roman" w:hAnsi="Times New Roman" w:cs="Times New Roman"/>
        </w:rPr>
        <w:t xml:space="preserve">All participants </w:t>
      </w:r>
      <w:r w:rsidR="00094731" w:rsidRPr="00014EF4">
        <w:rPr>
          <w:rFonts w:ascii="Times New Roman" w:hAnsi="Times New Roman" w:cs="Times New Roman"/>
        </w:rPr>
        <w:t xml:space="preserve">were planned to </w:t>
      </w:r>
      <w:r w:rsidRPr="00014EF4">
        <w:rPr>
          <w:rFonts w:ascii="Times New Roman" w:hAnsi="Times New Roman" w:cs="Times New Roman"/>
        </w:rPr>
        <w:t xml:space="preserve">provide pre-dosing PK samples at weeks 2, 8, and 16 to measure trough levels of linezolid (and bedaquiline, bedaquiline metabolite M2, and pretomanid, but not used for this current analysis). In a subset of participants, intensive PK sampling was also </w:t>
      </w:r>
      <w:r w:rsidR="00094731" w:rsidRPr="00014EF4">
        <w:rPr>
          <w:rFonts w:ascii="Times New Roman" w:hAnsi="Times New Roman" w:cs="Times New Roman"/>
        </w:rPr>
        <w:t xml:space="preserve">planned </w:t>
      </w:r>
      <w:r w:rsidRPr="00014EF4">
        <w:rPr>
          <w:rFonts w:ascii="Times New Roman" w:hAnsi="Times New Roman" w:cs="Times New Roman"/>
        </w:rPr>
        <w:t xml:space="preserve">at week 16 with samples collected at </w:t>
      </w:r>
      <w:r w:rsidR="00A42567">
        <w:rPr>
          <w:rFonts w:ascii="Times New Roman" w:hAnsi="Times New Roman" w:cs="Times New Roman"/>
        </w:rPr>
        <w:t>predose</w:t>
      </w:r>
      <w:r w:rsidR="00623897">
        <w:rPr>
          <w:rFonts w:ascii="Times New Roman" w:hAnsi="Times New Roman" w:cs="Times New Roman"/>
        </w:rPr>
        <w:t xml:space="preserve"> and</w:t>
      </w:r>
      <w:r w:rsidRPr="00014EF4">
        <w:rPr>
          <w:rFonts w:ascii="Times New Roman" w:hAnsi="Times New Roman" w:cs="Times New Roman"/>
        </w:rPr>
        <w:t xml:space="preserve"> 0.5, 1, 2, 4, 8, 12, 12.5, 13, 14, 16, 20 and 24 hours after dosing. </w:t>
      </w:r>
    </w:p>
    <w:p w14:paraId="496BB2E3" w14:textId="77777777" w:rsidR="004833D1" w:rsidRDefault="004833D1" w:rsidP="00386B99">
      <w:pPr>
        <w:rPr>
          <w:rFonts w:ascii="Times New Roman" w:hAnsi="Times New Roman" w:cs="Times New Roman"/>
        </w:rPr>
      </w:pPr>
    </w:p>
    <w:p w14:paraId="2846DECF" w14:textId="696B0355" w:rsidR="00A67BF3" w:rsidRPr="00014EF4" w:rsidRDefault="00A67BF3" w:rsidP="00386B99">
      <w:pPr>
        <w:rPr>
          <w:rFonts w:ascii="Times New Roman" w:hAnsi="Times New Roman" w:cs="Times New Roman"/>
        </w:rPr>
      </w:pPr>
      <w:r w:rsidRPr="00014EF4">
        <w:rPr>
          <w:rFonts w:ascii="Times New Roman" w:hAnsi="Times New Roman" w:cs="Times New Roman"/>
        </w:rPr>
        <w:t>Pretreatment levels were defined as measurements made before the first dose of BPaL taken</w:t>
      </w:r>
      <w:r w:rsidR="004833D1">
        <w:rPr>
          <w:rFonts w:ascii="Times New Roman" w:hAnsi="Times New Roman" w:cs="Times New Roman"/>
        </w:rPr>
        <w:t xml:space="preserve"> on day 1</w:t>
      </w:r>
      <w:r w:rsidRPr="00014EF4">
        <w:rPr>
          <w:rFonts w:ascii="Times New Roman" w:hAnsi="Times New Roman" w:cs="Times New Roman"/>
        </w:rPr>
        <w:t xml:space="preserve">. </w:t>
      </w:r>
      <w:r w:rsidR="004833D1">
        <w:rPr>
          <w:rFonts w:ascii="Times New Roman" w:eastAsia="Times New Roman" w:hAnsi="Times New Roman" w:cs="Times New Roman"/>
        </w:rPr>
        <w:t>S</w:t>
      </w:r>
      <w:r w:rsidR="004833D1" w:rsidRPr="00D10363">
        <w:rPr>
          <w:rFonts w:ascii="Times New Roman" w:eastAsia="Times New Roman" w:hAnsi="Times New Roman" w:cs="Times New Roman"/>
        </w:rPr>
        <w:t xml:space="preserve">creening </w:t>
      </w:r>
      <w:r w:rsidR="004833D1">
        <w:rPr>
          <w:rFonts w:ascii="Times New Roman" w:eastAsia="Times New Roman" w:hAnsi="Times New Roman" w:cs="Times New Roman"/>
        </w:rPr>
        <w:t xml:space="preserve">is defined as </w:t>
      </w:r>
      <w:r w:rsidR="004833D1" w:rsidRPr="00D10363">
        <w:rPr>
          <w:rFonts w:ascii="Times New Roman" w:eastAsia="Times New Roman" w:hAnsi="Times New Roman" w:cs="Times New Roman"/>
        </w:rPr>
        <w:t>up to 9 days prior to treatment initiation</w:t>
      </w:r>
      <w:r w:rsidR="004833D1">
        <w:rPr>
          <w:rFonts w:ascii="Times New Roman" w:eastAsia="Times New Roman" w:hAnsi="Times New Roman" w:cs="Times New Roman"/>
        </w:rPr>
        <w:t xml:space="preserve">. </w:t>
      </w:r>
    </w:p>
    <w:p w14:paraId="67C41D90" w14:textId="77777777" w:rsidR="007A4270" w:rsidRPr="00014EF4" w:rsidRDefault="007A4270" w:rsidP="00386B99">
      <w:pPr>
        <w:rPr>
          <w:rFonts w:ascii="Times New Roman" w:hAnsi="Times New Roman" w:cs="Times New Roman"/>
        </w:rPr>
      </w:pPr>
    </w:p>
    <w:p w14:paraId="41DE7D3F" w14:textId="3B167288"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A Brief Peripheral Neuropathy </w:t>
      </w:r>
      <w:r w:rsidR="00950B33">
        <w:rPr>
          <w:rFonts w:ascii="Times New Roman" w:hAnsi="Times New Roman" w:cs="Times New Roman"/>
        </w:rPr>
        <w:t>Screen</w:t>
      </w:r>
      <w:r w:rsidR="00F2206C" w:rsidRPr="00014EF4">
        <w:rPr>
          <w:rFonts w:ascii="Times New Roman" w:hAnsi="Times New Roman" w:cs="Times New Roman"/>
        </w:rPr>
        <w:fldChar w:fldCharType="begin" w:fldLock="1"/>
      </w:r>
      <w:r w:rsidR="00255B0B">
        <w:rPr>
          <w:rFonts w:ascii="Times New Roman" w:hAnsi="Times New Roman" w:cs="Times New Roman"/>
        </w:rPr>
        <w:instrText>ADDIN CSL_CITATION {"citationItems":[{"id":"ITEM-1","itemData":{"DOI":"10.1212/01.wnl.0000187119.33075.41","ISSN":"00283878","PMID":"16344522","abstract":"Objective: To evaluate the performance characteristics of a brief clinical neuropathy screening tool for use in sensory neuropathies complicating HIV infection. Methods: The authors assessed 80 patients using the Brief Peripheral Neuropathy Screen (BPNS). Patients were defined as having neuropathy if they had both symptoms and signs consistent with this diagnosis. All subjects underwent sensory threshold testing and lower limb epidermal nerve fiber quantification using punch skin biopsy as objective measures. Results: Individuals defined as having neuropathy using the BPNS (n = 37) performed less well on sensory threshold testing than other HIV-infected individuals (p &lt; 0.0001 for warming, cooling, and vibration) and also had lower distal calf epidermal nerve fiber densities (p &lt; 0.0001). Individuals who had symptoms but no neuropathic signs (n = 13) did not perform differently on any objective testing compared with neuropathy-free individuals, supporting the decision to require signs as well as symptoms as an operational criterion for the diagnosis of neuropathy. Of the symptoms listed in the screening tool, the presence of numbness had the greatest diagnostic efficiency for identifying those with neuropathy. Conclusion: The Brief Neuropathy Screening Tool (and the chosen definition of neuropathy) accurately detects those HIV-infected individuals with the greatest degree of peripheral nerve dysfunction and pathology. This is a valid neuropathy screening tool for use in the context of HIV infection, and is simple enough to be applicable in resource-limited settings. Copyright © 2005 by AAN Enterprises, Inc.","author":[{"dropping-particle":"","family":"Cherry","given":"Catherine L.","non-dropping-particle":"","parse-names":false,"suffix":""},{"dropping-particle":"","family":"Wesselingh","given":"Steven L.","non-dropping-particle":"","parse-names":false,"suffix":""},{"dropping-particle":"","family":"Lal","given":"Luxshimi","non-dropping-particle":"","parse-names":false,"suffix":""},{"dropping-particle":"","family":"McArthur","given":"Justin C.","non-dropping-particle":"","parse-names":false,"suffix":""}],"container-title":"Neurology","id":"ITEM-1","issue":"11","issued":{"date-parts":[["2005"]]},"page":"1778-1781","title":"Evaluation of a clinical screening tool for HIV-associated sensory neuropathies","type":"article-journal","volume":"65"},"uris":["http://www.mendeley.com/documents/?uuid=785904bf-994c-3d27-b307-4aa84fabbd31"]}],"mendeley":{"formattedCitation":"[3]","plainTextFormattedCitation":"[3]","previouslyFormattedCitation":"[3]"},"properties":{"noteIndex":0},"schema":"https://github.com/citation-style-language/schema/raw/master/csl-citation.json"}</w:instrText>
      </w:r>
      <w:r w:rsidR="00F2206C" w:rsidRPr="00014EF4">
        <w:rPr>
          <w:rFonts w:ascii="Times New Roman" w:hAnsi="Times New Roman" w:cs="Times New Roman"/>
        </w:rPr>
        <w:fldChar w:fldCharType="separate"/>
      </w:r>
      <w:r w:rsidR="00255B0B" w:rsidRPr="00255B0B">
        <w:rPr>
          <w:rFonts w:ascii="Times New Roman" w:hAnsi="Times New Roman" w:cs="Times New Roman"/>
          <w:noProof/>
        </w:rPr>
        <w:t>[3]</w:t>
      </w:r>
      <w:r w:rsidR="00F2206C" w:rsidRPr="00014EF4">
        <w:rPr>
          <w:rFonts w:ascii="Times New Roman" w:hAnsi="Times New Roman" w:cs="Times New Roman"/>
        </w:rPr>
        <w:fldChar w:fldCharType="end"/>
      </w:r>
      <w:r w:rsidRPr="00014EF4">
        <w:rPr>
          <w:rFonts w:ascii="Times New Roman" w:hAnsi="Times New Roman" w:cs="Times New Roman"/>
        </w:rPr>
        <w:t xml:space="preserve"> that evaluated subjective symptoms and objective measures of deep-tendon reflexes and vibration sense</w:t>
      </w:r>
      <w:r w:rsidRPr="00014EF4" w:rsidDel="00F34280">
        <w:rPr>
          <w:rFonts w:ascii="Times New Roman" w:hAnsi="Times New Roman" w:cs="Times New Roman"/>
        </w:rPr>
        <w:t xml:space="preserve"> </w:t>
      </w:r>
      <w:r w:rsidRPr="00014EF4">
        <w:rPr>
          <w:rFonts w:ascii="Times New Roman" w:hAnsi="Times New Roman" w:cs="Times New Roman"/>
        </w:rPr>
        <w:t xml:space="preserve">was </w:t>
      </w:r>
      <w:r w:rsidR="00094731" w:rsidRPr="00014EF4">
        <w:rPr>
          <w:rFonts w:ascii="Times New Roman" w:hAnsi="Times New Roman" w:cs="Times New Roman"/>
        </w:rPr>
        <w:t xml:space="preserve">scheduled </w:t>
      </w:r>
      <w:r w:rsidRPr="00014EF4">
        <w:rPr>
          <w:rFonts w:ascii="Times New Roman" w:hAnsi="Times New Roman" w:cs="Times New Roman"/>
        </w:rPr>
        <w:t>at screening, weeks 4, 8, 12, 16, 20, 26 during treatment and months 3, 6, 12, and 24 post-treatment. Participant elicited symptoms (i. interference with walking or sleeping, ii.</w:t>
      </w:r>
      <w:r w:rsidR="00802C8B" w:rsidRPr="00014EF4">
        <w:rPr>
          <w:rFonts w:ascii="Times New Roman" w:hAnsi="Times New Roman" w:cs="Times New Roman"/>
        </w:rPr>
        <w:t xml:space="preserve"> </w:t>
      </w:r>
      <w:r w:rsidRPr="00014EF4">
        <w:rPr>
          <w:rFonts w:ascii="Times New Roman" w:hAnsi="Times New Roman" w:cs="Times New Roman"/>
        </w:rPr>
        <w:t xml:space="preserve">pain, aching or burning in feet, iii. “pins and needles” in feet or legs, iv. numbness (lack of feeling) in feet or legs), perception of vibration (left and right foot), and deep tendon reflexes (left and right foot) were </w:t>
      </w:r>
      <w:r w:rsidR="00094731" w:rsidRPr="00014EF4">
        <w:rPr>
          <w:rFonts w:ascii="Times New Roman" w:hAnsi="Times New Roman" w:cs="Times New Roman"/>
        </w:rPr>
        <w:t xml:space="preserve">to be </w:t>
      </w:r>
      <w:r w:rsidRPr="00014EF4">
        <w:rPr>
          <w:rFonts w:ascii="Times New Roman" w:hAnsi="Times New Roman" w:cs="Times New Roman"/>
        </w:rPr>
        <w:t xml:space="preserve">collected at each timepoint. </w:t>
      </w:r>
      <w:r w:rsidR="005B6BF8" w:rsidRPr="00014EF4">
        <w:rPr>
          <w:rFonts w:ascii="Times New Roman" w:hAnsi="Times New Roman" w:cs="Times New Roman"/>
        </w:rPr>
        <w:t xml:space="preserve">Complete blood counts (hemoglobin, hematocrit, red blood cell count, white blood cell count with differential, and platelet count) were </w:t>
      </w:r>
      <w:r w:rsidR="00094731" w:rsidRPr="00014EF4">
        <w:rPr>
          <w:rFonts w:ascii="Times New Roman" w:hAnsi="Times New Roman" w:cs="Times New Roman"/>
        </w:rPr>
        <w:t xml:space="preserve">to be </w:t>
      </w:r>
      <w:r w:rsidR="005B6BF8" w:rsidRPr="00014EF4">
        <w:rPr>
          <w:rFonts w:ascii="Times New Roman" w:hAnsi="Times New Roman" w:cs="Times New Roman"/>
        </w:rPr>
        <w:t xml:space="preserve">performed at screening, at pretreatment, weekly up to 16 weeks of treatment and at 20 and 26 weeks of treatment. </w:t>
      </w:r>
    </w:p>
    <w:p w14:paraId="3F08CA98" w14:textId="77777777" w:rsidR="007A4270" w:rsidRPr="00014EF4" w:rsidRDefault="007A4270" w:rsidP="00386B99">
      <w:pPr>
        <w:rPr>
          <w:rFonts w:ascii="Times New Roman" w:hAnsi="Times New Roman" w:cs="Times New Roman"/>
        </w:rPr>
      </w:pPr>
    </w:p>
    <w:p w14:paraId="0F77AFC2" w14:textId="5C920A79"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The investigators were responsible for defining and eliciting adverse events by observing the patients and recording adverse events observed by themselves or reported by the patients during the trial. These investigator defined and elicited adverse events are referred to as investigator-reported adverse events in this present analysis. </w:t>
      </w:r>
    </w:p>
    <w:p w14:paraId="1DB8A701" w14:textId="77777777" w:rsidR="007A4270" w:rsidRPr="00014EF4" w:rsidRDefault="007A4270" w:rsidP="00386B99">
      <w:pPr>
        <w:rPr>
          <w:rFonts w:ascii="Times New Roman" w:hAnsi="Times New Roman" w:cs="Times New Roman"/>
          <w:b/>
        </w:rPr>
      </w:pPr>
    </w:p>
    <w:p w14:paraId="7D9E5F18" w14:textId="7E7305F6" w:rsidR="00A67BF3" w:rsidRPr="006941F2" w:rsidRDefault="00A67BF3" w:rsidP="006941F2">
      <w:pPr>
        <w:pStyle w:val="Heading2"/>
        <w:rPr>
          <w:rFonts w:ascii="Times New Roman" w:hAnsi="Times New Roman" w:cs="Times New Roman"/>
          <w:b/>
          <w:color w:val="auto"/>
          <w:sz w:val="24"/>
          <w:szCs w:val="24"/>
        </w:rPr>
      </w:pPr>
      <w:r w:rsidRPr="006941F2">
        <w:rPr>
          <w:rFonts w:ascii="Times New Roman" w:hAnsi="Times New Roman" w:cs="Times New Roman"/>
          <w:b/>
          <w:color w:val="auto"/>
          <w:sz w:val="24"/>
          <w:szCs w:val="24"/>
        </w:rPr>
        <w:t>Model development</w:t>
      </w:r>
    </w:p>
    <w:p w14:paraId="3FB30FB5" w14:textId="55289FD5"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Population PK modeling started with simple one or two compartment distribution models with linear elimination and first order absorption. </w:t>
      </w:r>
      <w:r w:rsidR="004833D1">
        <w:rPr>
          <w:rFonts w:ascii="Times New Roman" w:hAnsi="Times New Roman" w:cs="Times New Roman"/>
        </w:rPr>
        <w:t>More</w:t>
      </w:r>
      <w:r w:rsidR="00434B4A" w:rsidRPr="00014EF4">
        <w:rPr>
          <w:rFonts w:ascii="Times New Roman" w:hAnsi="Times New Roman" w:cs="Times New Roman"/>
        </w:rPr>
        <w:t xml:space="preserve"> </w:t>
      </w:r>
      <w:r w:rsidRPr="00014EF4">
        <w:rPr>
          <w:rFonts w:ascii="Times New Roman" w:hAnsi="Times New Roman" w:cs="Times New Roman"/>
        </w:rPr>
        <w:t>complex models with respect to absorption and elimination (non-linear elimination with or without linear elimination dependent on creatinine clearance) were then tested to identify the best model for our patient population</w:t>
      </w:r>
      <w:r w:rsidR="0008531D">
        <w:rPr>
          <w:rFonts w:ascii="Times New Roman" w:hAnsi="Times New Roman" w:cs="Times New Roman"/>
        </w:rPr>
        <w:t xml:space="preserve"> </w:t>
      </w:r>
      <w:r w:rsidR="0008531D" w:rsidRPr="007D0DBE">
        <w:rPr>
          <w:rFonts w:ascii="Times New Roman" w:hAnsi="Times New Roman" w:cs="Times New Roman"/>
        </w:rPr>
        <w:fldChar w:fldCharType="begin" w:fldLock="1"/>
      </w:r>
      <w:r w:rsidR="00255B0B">
        <w:rPr>
          <w:rFonts w:ascii="Times New Roman" w:hAnsi="Times New Roman" w:cs="Times New Roman"/>
        </w:rPr>
        <w:instrText>ADDIN CSL_CITATION {"citationItems":[{"id":"ITEM-1","itemData":{"DOI":"10.1128/AAC.01378-08","ISSN":"0066-4804","PMID":"19564361","abstract":"Nineteen adults with pulmonary tuberculosis received linezolid (600 mg) once or twice daily in an early bactericidal activity trial. A one-compartment population model produced median values for the absorption rate constant, volume of distribution, and elimination rate constant of 1.5 h(-1), 29.6 liters, and 0.25 h(-1) (once daily) and 2.7 h(-1), 32.1 liters, and 0.15 h(-1) (twice daily). Linezolid administered twice daily produced higher values for free drug area under the concentration-time curve (AUC)/MIC and time above MIC. Both regimens achieved free AUC/MIC ratios &gt; 100. Median times above the MIC for free drug were 100% (twice daily) and 63% (once daily).","author":[{"dropping-particle":"","family":"McGee","given":"B.","non-dropping-particle":"","parse-names":false,"suffix":""},{"dropping-particle":"","family":"Dietze","given":"R.","non-dropping-particle":"","parse-names":false,"suffix":""},{"dropping-particle":"","family":"Hadad","given":"D. J.","non-dropping-particle":"","parse-names":false,"suffix":""},{"dropping-particle":"","family":"Molino","given":"L. P. D.","non-dropping-particle":"","parse-names":false,"suffix":""},{"dropping-particle":"","family":"Maciel","given":"E. L. N.","non-dropping-particle":"","parse-names":false,"suffix":""},{"dropping-particle":"","family":"Boom","given":"W. H.","non-dropping-particle":"","parse-names":false,"suffix":""},{"dropping-particle":"","family":"Palaci","given":"M.","non-dropping-particle":"","parse-names":false,"suffix":""},{"dropping-particle":"","family":"Johnson","given":"J. L.","non-dropping-particle":"","parse-names":false,"suffix":""},{"dropping-particle":"","family":"Peloquin","given":"C. A.","non-dropping-particle":"","parse-names":false,"suffix":""}],"container-title":"Antimicrobial Agents and Chemotherapy","id":"ITEM-1","issue":"9","issued":{"date-parts":[["2009","9","1"]]},"page":"3981-3984","title":"Population Pharmacokinetics of Linezolid in Adults with Pulmonary Tuberculosis","type":"article-journal","volume":"53"},"uris":["http://www.mendeley.com/documents/?uuid=10dc138a-ee7a-3d87-961c-5c9074ba4798"]},{"id":"ITEM-2","itemData":{"DOI":"10.1128/AAC.01885-13","ISSN":"1098-6596","PMID":"24514086","abstract":"Thrombocytopenia is a common side effect of linezolid, an oxazolidinone antibiotic often used to treat multidrug-resistant Gram-positive bacterial infections. Various risk factors have been suggested, including linezolid dose and duration of therapy, baseline platelet counts, and renal dysfunction; still, the mechanisms behind this potentially treatment-limiting toxicity are largely unknown. A clinical study was conducted to investigate the relationship between linezolid pharmacokinetics and toxicodynamics and inform strategies to prevent and manage linezolid-associated toxicity. Forty-one patients received 42 separate treatment courses of linezolid (600 mg every 12 h). A new mechanism-based, population pharmacokinetic/toxicodynamic model was developed to describe the time course of plasma linezolid concentrations and platelets. A linezolid concentration of 8.06 mg/liter (101% between-patient variability) inhibited the synthesis of platelet precursor cells by 50%. Simulations predicted treatment durations of 5 and 7 days to carry a substantially lower risk than 10- to 28-day therapy for platelet nadirs of &lt;100 ×10(9)/liter. The risk for toxicity did not differ noticeably between 14 and 28 days of therapy and was significantly higher for patients with lower baseline platelet counts. Due to the increased risk of toxicity after longer durations of linezolid therapy and large between-patient variability, close monitoring of patients for development of toxicity is important. Dose individualization based on plasma linezolid concentration profiles and platelet counts should be considered to minimize linezolid-associated thrombocytopenia. Overall, oxazolidinone therapy over 5 to 7 days even at relatively high doses was predicted to be as safe as 10-day therapy of 600 mg linezolid every 12 h.","author":[{"dropping-particle":"","family":"Boak","given":"Lauren M","non-dropping-particle":"","parse-names":false,"suffix":""},{"dropping-particle":"","family":"Rayner","given":"Craig R","non-dropping-particle":"","parse-names":false,"suffix":""},{"dropping-particle":"","family":"Grayson","given":"M Lindsay","non-dropping-particle":"","parse-names":false,"suffix":""},{"dropping-particle":"","family":"Paterson","given":"David L","non-dropping-particle":"","parse-names":false,"suffix":""},{"dropping-particle":"","family":"Spelman","given":"Denis","non-dropping-particle":"","parse-names":false,"suffix":""},{"dropping-particle":"","family":"Khumra","given":"Sharmila","non-dropping-particle":"","parse-names":false,"suffix":""},{"dropping-particle":"","family":"Capitano","given":"Blair","non-dropping-particle":"","parse-names":false,"suffix":""},{"dropping-particle":"","family":"Forrest","given":"Alan","non-dropping-particle":"","parse-names":false,"suffix":""},{"dropping-particle":"","family":"Li","given":"Jian","non-dropping-particle":"","parse-names":false,"suffix":""},{"dropping-particle":"","family":"Nation","given":"Roger L","non-dropping-particle":"","parse-names":false,"suffix":""},{"dropping-particle":"","family":"Bulitta","given":"Jurgen B","non-dropping-particle":"","parse-names":false,"suffix":""}],"container-title":"Antimicrobial agents and chemotherapy","id":"ITEM-2","issue":"4","issued":{"date-parts":[["2014"]]},"page":"2334-43","title":"Clinical population pharmacokinetics and toxicodynamics of linezolid.","type":"article-journal","volume":"58"},"uris":["http://www.mendeley.com/documents/?uuid=20280f70-d671-3166-bb13-dae5b2233a40"]},{"id":"ITEM-3","itemData":{"DOI":"10.1128/AAC.01185-10","ISSN":"0066-4804","PMID":"21357301","abstract":"Linezolid is an antimicrobial agent to treat infections by Gram-positive pathogens, including methicillin-resistant Staphylococcus aureus (MRSA). While effective, linezolid treatment frequently is associated with hematological side effects, especially thrombocytopenia. However, little is known about the mechanism of this side effect and the exposure-response relationship. The present population pharmacokinetic/pharmacodynamic (PPK/PD) study was undertaken to elucidate the factors that determine linezolid levels, the relationship between exposure to linezolid and a decrease in platelet counts, and appropriate dosage adjustments based on exposure levels. In total, 50 patients (135 plasma samples) were used for the PPK analysis. The PPK analysis revealed that renal function and severe liver cirrhosis (Child Pugh grade C) significantly affect the pharmacokinetics of linezolid according to the equation clearance (liter/h)=2.85×(creatinine clearance/60.9)0.618×0.472CIR (CIR indicates cirrhosis status; 0 for noncirrhosis, 1 for cirrhosis patients). Using 603 platelet counts from 45 patients, a PPK/PD analysis with a semimechanistic pharmacodynamic model described the relationship between linezolid exposure and platelet counts quantitatively, and the newly constructed model was validated using external data (776 platelet counts from 60 patients). Simulation indicated considerable risks in patients with insufficient renal function (creatinine clearance, ≤30 ml/min) or severe liver cirrhosis. For these patients, a reduced dosage (600 mg/day) would be recommended for sufficient efficacy (area under the concentration-time curve over 24 h in the steady state divided by the MIC, &gt;100) and safety.","author":[{"dropping-particle":"","family":"Sasaki","given":"T.","non-dropping-particle":"","parse-names":false,"suffix":""},{"dropping-particle":"","family":"Takane","given":"H.","non-dropping-particle":"","parse-names":false,"suffix":""},{"dropping-particle":"","family":"Ogawa","given":"K.","non-dropping-particle":"","parse-names":false,"suffix":""},{"dropping-particle":"","family":"Isagawa","given":"S.","non-dropping-particle":"","parse-names":false,"suffix":""},{"dropping-particle":"","family":"Hirota","given":"T.","non-dropping-particle":"","parse-names":false,"suffix":""},{"dropping-particle":"","family":"Higuchi","given":"S.","non-dropping-particle":"","parse-names":false,"suffix":""},{"dropping-particle":"","family":"Horii","given":"T.","non-dropping-particle":"","parse-names":false,"suffix":""},{"dropping-particle":"","family":"Otsubo","given":"K.","non-dropping-particle":"","parse-names":false,"suffix":""},{"dropping-particle":"","family":"Ieiri","given":"I.","non-dropping-particle":"","parse-names":false,"suffix":""}],"container-title":"Antimicrobial Agents and Chemotherapy","id":"ITEM-3","issue":"5","issued":{"date-parts":[["2011","5","1"]]},"page":"1867-1873","title":"Population Pharmacokinetic and Pharmacodynamic Analysis of Linezolid and a Hematologic Side Effect, Thrombocytopenia, in Japanese Patients","type":"article-journal","volume":"55"},"uris":["http://www.mendeley.com/documents/?uuid=d1414312-df33-34e6-8a6a-22a02435e105"]},{"id":"ITEM-4","itemData":{"DOI":"10.1128/AAC.47.2.548-553.2003","ISSN":"0066-4804","PMID":"12543657","abstract":"Data obtained from 318 adult patients treated under the linezolid compassionate-use protocol were used to develop a population model of the pharmacokinetics of intravenous and oral linezolid. All of the patients received 600 mg of linezolid every 12 h, intravenously and/or orally. Blood samples (2 to 10 per patient; median, 4) were obtained and assayed for linezolid by high-performance liquid chromatography. These data and patient covariates were modeled by iterative two-stage analysis, and model discrimination was done by Akaike's information criterion. Of the patient covariates considered (age, sex, ideal body weight, baseline serum albumin, hepatic or renal dysfunction, underlying malignancy, organ transplantation, surgical status, global severity of illness, site of infection, route of administration, and location of care [intensive-care unit, general floor, or outpatient]), only normalized creatinine clearance (CL(CR)) and body weight explained significant portions of the variance and were incorporated into the pharmacokinetic model. The final model included central and peripheral compartments with parallel capacity-limited (nonrenal) and first-order (renal [CL(R)]) clearances. Volumes and clearances were normalized to the ideal body weight, and CL(R) was modeled as proportional to CL(CR). Compared to previously studied adult volunteers, intrinsic clearance was approximately 60% higher and the maximum rate of metabolism was twice as high in these debilitated patients, resulting in lower area under the time-concentration curve (AUC) values (P &lt; 0.001). The derived 24-h AUC, averaged over the first 7 days of treatment, ranged between 57 and 871 (median, 191) micro g/ml. 24 h. Despite these variations, linezolid provided high rates of clinical cure, as well as microbiological success, in the patients treated in the compassionate-use program. The mechanism(s) of these pharmacokinetic differences is unknown and requires further mechanistic study.","author":[{"dropping-particle":"","family":"Meagher","given":"Alison K","non-dropping-particle":"","parse-names":false,"suffix":""},{"dropping-particle":"","family":"Forrest","given":"Alan","non-dropping-particle":"","parse-names":false,"suffix":""},{"dropping-particle":"","family":"Rayner","given":"Craig R","non-dropping-particle":"","parse-names":false,"suffix":""},{"dropping-particle":"","family":"Birmingham","given":"Mary C","non-dropping-particle":"","parse-names":false,"suffix":""},{"dropping-particle":"","family":"Schentag","given":"Jerome J","non-dropping-particle":"","parse-names":false,"suffix":""}],"container-title":"Antimicrobial agents and chemotherapy","id":"ITEM-4","issue":"2","issued":{"date-parts":[["2003","2"]]},"page":"548-53","publisher":"American Society for Microbiology (ASM)","title":"Population pharmacokinetics of linezolid in patients treated in a compassionate-use program.","type":"article-journal","volume":"47"},"uris":["http://www.mendeley.com/documents/?uuid=fda682f3-2329-3ee4-80b3-83be377f5ad5"]},{"id":"ITEM-5","itemData":{"DOI":"10.1124/dmd.106.013755","ISSN":"0090-9556","PMID":"17639029","abstract":"Few studies investigating the population pharmacokinetics of linezolid in critically ill patients have been reported, yielding controversial results. Therefore, a population pharmacokinetic analysis using NONMEM was performed to thoroughly understand the pharmacokinetics of unbound linezolid in plasma. Data were obtained from 10 healthy volunteers and 24 septic patients. Intensive sampling was performed after single and multiple dosing. The pharmacokinetics of unbound linezolid was best described by a two-compartment model with an absorption rate constant (K(A), 1.81 h(-1)), clearance (CL, 11.1 l/h), volumes of distribution (V(2) and V(3), 20.0 and 28.9 liters, respectively), and intercompartmental clearance Q, 75.0 l/h). However, clearance was inhibited over time to 76.4% of its original value, dependent on the concentration in an empirical inhibition compartment. Overall, imprecision of parameter estimates was low to moderate. Comparison of goodness of fit graphics and of the predictive performance revealed that the presented model was superior to previously published models using linear elimination or parallel linear and Michaelis-Menten elimination and also to other of our own investigated model alternatives. The observed nonlinearity in linezolid pharmacokinetics might be a result of an inhibition of the formation of the major linezolid metabolite due to the inhibition of respiratory chain enzyme activity. To our knowledge, this study presents the first attempt to mechanistically explain the observed nonlinearity in linezolid pharmacokinetics. Finally, simulations demonstrated that the model might also serve as a tool to predict concentration-time profiles of linezolid, thus providing a rationale for a more targeted antimicrobial therapy.","author":[{"dropping-particle":"","family":"Plock","given":"N.","non-dropping-particle":"","parse-names":false,"suffix":""},{"dropping-particle":"","family":"Buerger","given":"C.","non-dropping-particle":"","parse-names":false,"suffix":""},{"dropping-particle":"","family":"Joukhadar","given":"C.","non-dropping-particle":"","parse-names":false,"suffix":""},{"dropping-particle":"","family":"Kljucar","given":"S.","non-dropping-particle":"","parse-names":false,"suffix":""},{"dropping-particle":"","family":"Kloft","given":"C.","non-dropping-particle":"","parse-names":false,"suffix":""}],"container-title":"Drug Metabolism and Disposition","id":"ITEM-5","issue":"10","issued":{"date-parts":[["2007","6","28"]]},"page":"1816-1823","title":"Does Linezolid Inhibit Its Own Metabolism? Population Pharmacokinetics As a Tool to Explain the Observed Nonlinearity in Both Healthy Volunteers and Septic Patients","type":"article-journal","volume":"35"},"uris":["http://www.mendeley.com/documents/?uuid=f155fc4b-1d28-3ab9-8744-9b49ca68f63b"]},{"id":"ITEM-6","itemData":{"DOI":"10.1128/AAC.01797-10","ISSN":"1098-6596","PMID":"21518837","abstract":"Linezolid is a treatment option for methicillin-resistant Staphylococcus aureus (MRSA) infections in cystic fibrosis (CF) patients. Little is known, however, about its pharmacokinetics in this population. Eight adults with CF were randomized to receive intravenous (i.v.) and oral linezolid at 600 mg twice daily for 9 doses in a crossover design with a 9-day washout. Plasma samples were collected after the first and ninth doses of each phase. Population pharmacokinetic analyses were performed by nonlinear mixed-effects modeling using a previously described 2-compartment model with time-dependent clearance inhibition. Monte Carlo simulation was performed to assess the activities of the linezolid dosing regimens against 42 contemporary MRSA isolates recovered from CF patients. The following pharmacokinetic parameter estimates were observed for the population: absorption rate constant, 1.91 h(-1); clearance, 9.54 liters/h; volume of central compartment, 26.8 liters; volume of peripheral compartment, 17.3 liters; and intercompartmental clearance, 104 liters/h. Linezolid demonstrated nonlinear clearance after 9 doses, which was reduced by a mean of 38.9% (range, 28.8 to 59.9%). Mean bioavailability was 85% (range, 47 to 131%). At steady state, 600 mg given twice daily produced 93.0% and 87.2% probabilities of obtaining the target pharmacodynamic exposure against the MRSA isolates for the i.v. and oral formulations, respectively. Thrice-daily dosing increased the probabilities to 97.0% and 95.6%, respectively. Linezolid pharmacokinetics in these adults with CF were well described by a 2-compartment model with time-dependent clearance inhibition. Standard i.v. and oral dosing regimens should be sufficient to reliably attain pharmacodynamic targets against most MRSA isolates; however, more frequent dosing may be required for isolates with MICs of ≥ 2 μg/ml.","author":[{"dropping-particle":"","family":"Keel","given":"Rebecca A","non-dropping-particle":"","parse-names":false,"suffix":""},{"dropping-particle":"","family":"Schaeftlein","given":"Andre","non-dropping-particle":"","parse-names":false,"suffix":""},{"dropping-particle":"","family":"Kloft","given":"Charlotte","non-dropping-particle":"","parse-names":false,"suffix":""},{"dropping-particle":"","family":"Pope","given":"J Samuel","non-dropping-particle":"","parse-names":false,"suffix":""},{"dropping-particle":"","family":"Knauft","given":"R Frederic","non-dropping-particle":"","parse-names":false,"suffix":""},{"dropping-particle":"","family":"Muhlebach","given":"Marianne","non-dropping-particle":"","parse-names":false,"suffix":""},{"dropping-particle":"","family":"Nicolau","given":"David P","non-dropping-particle":"","parse-names":false,"suffix":""},{"dropping-particle":"","family":"Kuti","given":"Joseph L","non-dropping-particle":"","parse-names":false,"suffix":""}],"container-title":"Antimicrobial agents and chemotherapy","id":"ITEM-6","issue":"7","issued":{"date-parts":[["2011","7","1"]]},"page":"3393-8","publisher":"American Society for Microbiology Journals","title":"Pharmacokinetics of intravenous and oral linezolid in adults with cystic fibrosis.","type":"article-journal","volume":"55"},"uris":["http://www.mendeley.com/documents/?uuid=87c5a3ae-4d35-380c-8ff0-0da7544e857a"]},{"id":"ITEM-7","itemData":{"ISSN":"0066-4804","PMID":"32778547","abstract":"The prolonged treatment duration for multidrug-resistant tuberculosis (MDR-TB) makes linezolid dosing difficult because of adverse effects associated with long-term use. We sought to find the optimal dosing regimen for linezolid across different MIC values. Pharmacokinetic (PK) data from TB patients were included from Brazil, Georgia, and two U.S. sites. Population PK modeling and simulation were performed. We used an f AUC (area under the unbound drug concentration-time curve)/MIC ratio of &gt;119 as the PK/pharmacodynamic (PD) target and minimum (trough) concentrations of drug ( C min s) of 2 and 7 mg/liter as thresholds for toxicity. The PK/PD breakpoint was defined as the highest MIC at which the probability of target attainment is &gt;90%. A total of 104 patients with pulmonary TB were included, with a median age and weight of 37 years and 60 kg. Eighty-one percent had drug-resistant TB. The PK data were best described by a one-compartment model. The PK/PD breakpoint was 0.125 mg/liter for a total daily dose of 300 mg, while daily doses of 450 to 600 mg and 900 to 1,200 mg had PK/PD breakpoints of 0.25 and 0.50 mg/liter, respectively. The probability of achieving a C min of ≤2 mg/liter was higher when the dose was given at once than when dividing it into 2 doses. Linezolid at a daily dose of 300 mg may not be optimal. We predicted an excellent and comparable efficacy of linezolid using total daily doses of 900 and 1,200 mg for MICs of ≤0.5 mg/liter but with the potential for more toxicity than with 600 mg daily. The increase in C min was noticeable when the daily dose was divided and may incur greater toxicity.","author":[{"dropping-particle":"","family":"Alghamdi","given":"Wael A.","non-dropping-particle":"","parse-names":false,"suffix":""},{"dropping-particle":"","family":"Al-Shaer","given":"Mohammad H.","non-dropping-particle":"","parse-names":false,"suffix":""},{"dropping-particle":"","family":"An","given":"Guohua","non-dropping-particle":"","parse-names":false,"suffix":""},{"dropping-particle":"","family":"Alsultan","given":"Abdullah","non-dropping-particle":"","parse-names":false,"suffix":""},{"dropping-particle":"","family":"Kipiani","given":"Maia","non-dropping-particle":"","parse-names":false,"suffix":""},{"dropping-particle":"","family":"Barbakadze","given":"Ketevan","non-dropping-particle":"","parse-names":false,"suffix":""},{"dropping-particle":"","family":"Mikiashvili","given":"Lali","non-dropping-particle":"","parse-names":false,"suffix":""},{"dropping-particle":"","family":"Ashkin","given":"David","non-dropping-particle":"","parse-names":false,"suffix":""},{"dropping-particle":"","family":"Griffith","given":"David E.","non-dropping-particle":"","parse-names":false,"suffix":""},{"dropping-particle":"","family":"Cegielski","given":"J. Peter","non-dropping-particle":"","parse-names":false,"suffix":""},{"dropping-particle":"","family":"Kempker","given":"Russell R.","non-dropping-particle":"","parse-names":false,"suffix":""},{"dropping-particle":"","family":"Peloquin","given":"Charles A.","non-dropping-particle":"","parse-names":false,"suffix":""}],"container-title":"Antimicrobial Agents and Chemotherapy","id":"ITEM-7","issue":"10","issued":{"date-parts":[["2020","8","10"]]},"page":"e01174-20","publisher":"American Society for Microbiology","title":"Population Pharmacokinetics of Linezolid in Tuberculosis Patients: Dosing Regimen Simulation and Target Attainment Analysis","type":"article-journal","volume":"64"},"uris":["http://www.mendeley.com/documents/?uuid=2a707845-238d-3258-8c66-3be7fedcbac5"]}],"mendeley":{"formattedCitation":"[4–10]","plainTextFormattedCitation":"[4–10]","previouslyFormattedCitation":"[4–10]"},"properties":{"noteIndex":0},"schema":"https://github.com/citation-style-language/schema/raw/master/csl-citation.json"}</w:instrText>
      </w:r>
      <w:r w:rsidR="0008531D" w:rsidRPr="007D0DBE">
        <w:rPr>
          <w:rFonts w:ascii="Times New Roman" w:hAnsi="Times New Roman" w:cs="Times New Roman"/>
        </w:rPr>
        <w:fldChar w:fldCharType="separate"/>
      </w:r>
      <w:r w:rsidR="00255B0B" w:rsidRPr="00255B0B">
        <w:rPr>
          <w:rFonts w:ascii="Times New Roman" w:hAnsi="Times New Roman" w:cs="Times New Roman"/>
          <w:noProof/>
        </w:rPr>
        <w:t>[4–10]</w:t>
      </w:r>
      <w:r w:rsidR="0008531D" w:rsidRPr="007D0DBE">
        <w:rPr>
          <w:rFonts w:ascii="Times New Roman" w:hAnsi="Times New Roman" w:cs="Times New Roman"/>
        </w:rPr>
        <w:fldChar w:fldCharType="end"/>
      </w:r>
      <w:r w:rsidR="0008531D" w:rsidRPr="007D0DBE">
        <w:rPr>
          <w:rFonts w:ascii="Times New Roman" w:hAnsi="Times New Roman" w:cs="Times New Roman"/>
        </w:rPr>
        <w:t>.</w:t>
      </w:r>
      <w:r w:rsidR="00434B4A">
        <w:rPr>
          <w:rFonts w:ascii="Times New Roman" w:hAnsi="Times New Roman" w:cs="Times New Roman"/>
        </w:rPr>
        <w:t xml:space="preserve"> </w:t>
      </w:r>
      <w:r w:rsidRPr="00014EF4">
        <w:rPr>
          <w:rFonts w:ascii="Times New Roman" w:hAnsi="Times New Roman" w:cs="Times New Roman"/>
        </w:rPr>
        <w:t xml:space="preserve">Interindividual variability was modeled with a log-normal distribution and residual unexplained variability was modeled with a proportional error model. Covariates (age, sex, </w:t>
      </w:r>
      <w:r w:rsidR="002A145F">
        <w:rPr>
          <w:rFonts w:ascii="Times New Roman" w:hAnsi="Times New Roman" w:cs="Times New Roman"/>
        </w:rPr>
        <w:t xml:space="preserve">body </w:t>
      </w:r>
      <w:r w:rsidRPr="00014EF4">
        <w:rPr>
          <w:rFonts w:ascii="Times New Roman" w:hAnsi="Times New Roman" w:cs="Times New Roman"/>
        </w:rPr>
        <w:t>weight, body mass index (BMI), and human immunodeficiency virus (HIV) status) were tested as predictors of model parameters using an automated stepwise covariate modelling procedure. This method involves stepwise testing of linear and non-linear relationships in a forward inclusion (p &lt; 0.01) and backward exclusion (p &lt; 0.001) procedure.</w:t>
      </w:r>
      <w:r w:rsidR="002A145F">
        <w:rPr>
          <w:rFonts w:ascii="Times New Roman" w:hAnsi="Times New Roman" w:cs="Times New Roman"/>
        </w:rPr>
        <w:t xml:space="preserve"> The significance levels (p-values) for covariate selection were chosen to account for multiple testing with 4 models (PK, peripheral neuropathy scores, hemoglobin levels, and platelet counts), 16 parameters and 5 covariates (80 relationships). In addition to significance levels, scientific plausibility (e.g. prior information), goodness of fit plots (e.g. covariate vs post-hoc parameter estimates), clinical relevance, stratified visual predictive checks, precision of parameter estimates, and reduction of unexplained parameters variability were considered for selection of the final model</w:t>
      </w:r>
      <w:r w:rsidR="00180CEA">
        <w:rPr>
          <w:rFonts w:ascii="Times New Roman" w:hAnsi="Times New Roman" w:cs="Times New Roman"/>
        </w:rPr>
        <w:t xml:space="preserve"> </w:t>
      </w:r>
      <w:r w:rsidR="00180CEA">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{"citationItems":[{"id":"ITEM-1","itemData":{"DOI":"10.1208/S12248-012-9320-2","PMID":"22274748","abstract":"When modeling pharmacokinetic (PK) data, identifying covariates is important in explaining interindividual variability, and thus increasing the predictive value of the model. Nonlinear mixed-effects modeling with stepwise covariate modeling is frequently used to build structural covariate models, and the most commonly used software-NONMEM-provides estimations for the fixed-effect parameters (e.g., drug clearance), interindividual and residual unidentified random effects. The aim of covariate modeling is not only to find covariates that significantly influence the population PK parameters, but also to provide dosing recommendations for a certain drug under different conditions, e.g., organ dysfunction, combination chemotherapy. A true covariate is usually seen as one that carries unique information on a structural model parameter. Covariate models have improved our understanding of the pharmacology of many anticancer drugs, including busulfan or melphalan that are part of high-dose pretransplant treatments, the antifolate methotrexate whose elimination is strongly dependent on GFR and comedication, the taxanes and tyrosine kinase inhibitors, the latter being subject of cytochrome p450 3A4 (CYP3A4) associated metabolism. The purpose of this review article is to provide a tool to help understand population covariate analysis and their potential implications for the clinic. Accordingly, several population covariate models are listed, and their clinical relevance is discussed. The target audience of this article are clinical oncologists with a special interest in clinical and mathematical pharmacology. © 2012 American Association of Pharmaceutical Scientists.","author":[{"dropping-particle":"","family":"Joerger","given":"Markus","non-dropping-particle":"","parse-names":false,"suffix":""}],"container-title":"The AAPS Journal","id":"ITEM-1","issue":"1","issued":{"date-parts":[["2012","3"]]},"page":"119","publisher":"Springer","title":"Covariate Pharmacokinetic Model Building in Oncology and its Potential Clinical Relevance","type":"article-journal","volume":"14"},"uris":["http://www.mendeley.com/documents/?uuid=dd81b37e-c058-3c98-b121-3a7ebaff7bd2"]}],"mendeley":{"formattedCitation":"[11]","plainTextFormattedCitation":"[11]","previouslyFormattedCitation":"[11]"},"properties":{"noteIndex":0},"schema":"https://github.com/citation-style-language/schema/raw/master/csl-citation.json"}</w:instrText>
      </w:r>
      <w:r w:rsidR="00180CEA">
        <w:rPr>
          <w:rFonts w:ascii="Times New Roman" w:hAnsi="Times New Roman" w:cs="Times New Roman"/>
        </w:rPr>
        <w:fldChar w:fldCharType="separate"/>
      </w:r>
      <w:r w:rsidR="00180CEA" w:rsidRPr="00180CEA">
        <w:rPr>
          <w:rFonts w:ascii="Times New Roman" w:hAnsi="Times New Roman" w:cs="Times New Roman"/>
          <w:noProof/>
        </w:rPr>
        <w:t>[11]</w:t>
      </w:r>
      <w:r w:rsidR="00180CEA">
        <w:rPr>
          <w:rFonts w:ascii="Times New Roman" w:hAnsi="Times New Roman" w:cs="Times New Roman"/>
        </w:rPr>
        <w:fldChar w:fldCharType="end"/>
      </w:r>
      <w:r w:rsidR="002A145F">
        <w:rPr>
          <w:rFonts w:ascii="Times New Roman" w:hAnsi="Times New Roman" w:cs="Times New Roman"/>
        </w:rPr>
        <w:t>.</w:t>
      </w:r>
      <w:r w:rsidRPr="00014EF4">
        <w:rPr>
          <w:rFonts w:ascii="Times New Roman" w:hAnsi="Times New Roman" w:cs="Times New Roman"/>
        </w:rPr>
        <w:t xml:space="preserve"> Model evaluation was performed throughout the model development process by evaluating goodness-of-fit plots, visual predictive checks, and bootstrap estimates and confidence intervals. </w:t>
      </w:r>
    </w:p>
    <w:p w14:paraId="604295DB" w14:textId="77777777" w:rsidR="007A4270" w:rsidRPr="00014EF4" w:rsidRDefault="007A4270" w:rsidP="00386B99">
      <w:pPr>
        <w:rPr>
          <w:rFonts w:ascii="Times New Roman" w:eastAsia="Times New Roman" w:hAnsi="Times New Roman" w:cs="Times New Roman"/>
        </w:rPr>
      </w:pPr>
    </w:p>
    <w:p w14:paraId="536E737C" w14:textId="225B634D" w:rsidR="00A67BF3" w:rsidRPr="00014EF4" w:rsidRDefault="00A67BF3" w:rsidP="00386B99">
      <w:pPr>
        <w:rPr>
          <w:rFonts w:ascii="Times New Roman" w:hAnsi="Times New Roman" w:cs="Times New Roman"/>
        </w:rPr>
      </w:pPr>
      <w:r w:rsidRPr="00014EF4">
        <w:rPr>
          <w:rFonts w:ascii="Times New Roman" w:eastAsia="Times New Roman" w:hAnsi="Times New Roman" w:cs="Times New Roman"/>
        </w:rPr>
        <w:t xml:space="preserve">It was critical to investigate drug dosing and schedule information as potential predictors of toxicity response. Therefore, </w:t>
      </w:r>
      <w:r w:rsidRPr="00014EF4">
        <w:rPr>
          <w:rFonts w:ascii="Times New Roman" w:eastAsia="Times New Roman" w:hAnsi="Times New Roman" w:cs="Times New Roman"/>
          <w:color w:val="000000"/>
        </w:rPr>
        <w:t xml:space="preserve">the focus here was on investigating the potential for individual linezolid concentration-time profiles, which take into account individual dosage reductions and interruptions and interindividual variabilities, as the drug exposure variable to predict response (i.e. peripheral neuropathy, hemoglobin level, and platelet count). </w:t>
      </w:r>
      <w:r w:rsidRPr="00014EF4">
        <w:rPr>
          <w:rFonts w:ascii="Times New Roman" w:hAnsi="Times New Roman" w:cs="Times New Roman"/>
        </w:rPr>
        <w:t>A sequential approach was used to develop population PK-toxicodynamic models</w:t>
      </w:r>
      <w:r w:rsidR="00F2206C"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{"citationItems":[{"id":"ITEM-1","itemData":{"DOI":"10.1023/B:JOPA.0000012998.04442.1f","ISSN":"1567567X","PMID":"15000421","abstract":"Dose [-concentration]-effect relationships can be obtained by fitting a predictive pharmacokinetic (PK)-pharmacodynamic (PD) model to both concentration and effect observations. Either a model can be fit simultaneously to all the data (\"simultaneous\" method), or first a model can be fit to the PK data and then a model can be fit to the PD data, conditioning in some way on the PK data or on the estimates of the PK parameters (\" sequential\" method). Using simulated data, we compare the performance of the simultaneous method with that of three sequential method variants with respect to computation time, estimation precision, and inference. Using NONMEM, under various study designs, observations of one type of PK and one type of PD response from different numbers of individuals were simulated according to a one-compartment PK model and direct E max PD model, with parameters drawn from an appropriate population distribution. The same PK and PD models were fit to these observations using simultaneous and sequential methods. Performance measures include computation time, fraction of cases for which estimates are successfully obtained, precision of PD parameter estimates, precision of PD parameter standard error estimates, and type-I error rates of a likelihood ratio test. With the sequential method, computation time is less, and estimates are more likely to be obtained. Using the First Order Conditional Estimation (FOCE) method, a sequential approach that conditions on both population PK parameter estimates and PK data, estimates PD parameters and their standard errors about as well as the \"gold standard\" simultaneous method, and saves about 40% computation time. Type-I error rates of likelihood ratio test for both simultaneous and sequential approaches are close to the nominal rates.","author":[{"dropping-particle":"","family":"Zhang","given":"Liping","non-dropping-particle":"","parse-names":false,"suffix":""},{"dropping-particle":"","family":"Beal","given":"Stuart L.","non-dropping-particle":"","parse-names":false,"suffix":""},{"dropping-particle":"","family":"Sheiner","given":"Lewis B.","non-dropping-particle":"","parse-names":false,"suffix":""}],"container-title":"Journal of Pharmacokinetics and Pharmacodynamics","id":"ITEM-1","issue":"6","issued":{"date-parts":[["2003"]]},"page":"387-404","title":"Simultaneous vs. Sequential Analysis for Population PK/PD Data I: Best-case Performance","type":"article-journal","volume":"30"},"uris":["http://www.mendeley.com/documents/?uuid=fec9e593-01ce-38eb-92c2-48b15e2b58df"]}],"mendeley":{"formattedCitation":"[12]","plainTextFormattedCitation":"[12]","previouslyFormattedCitation":"[12]"},"properties":{"noteIndex":0},"schema":"https://github.com/citation-style-language/schema/raw/master/csl-citation.json"}</w:instrText>
      </w:r>
      <w:r w:rsidR="00F2206C" w:rsidRPr="00014EF4">
        <w:rPr>
          <w:rFonts w:ascii="Times New Roman" w:hAnsi="Times New Roman" w:cs="Times New Roman"/>
        </w:rPr>
        <w:fldChar w:fldCharType="separate"/>
      </w:r>
      <w:r w:rsidR="00180CEA" w:rsidRPr="00180CEA">
        <w:rPr>
          <w:rFonts w:ascii="Times New Roman" w:hAnsi="Times New Roman" w:cs="Times New Roman"/>
          <w:noProof/>
        </w:rPr>
        <w:t>[12]</w:t>
      </w:r>
      <w:r w:rsidR="00F2206C" w:rsidRPr="00014EF4">
        <w:rPr>
          <w:rFonts w:ascii="Times New Roman" w:hAnsi="Times New Roman" w:cs="Times New Roman"/>
        </w:rPr>
        <w:fldChar w:fldCharType="end"/>
      </w:r>
      <w:r w:rsidR="002B7343" w:rsidRPr="00014EF4">
        <w:rPr>
          <w:rFonts w:ascii="Times New Roman" w:hAnsi="Times New Roman" w:cs="Times New Roman"/>
        </w:rPr>
        <w:t>.</w:t>
      </w:r>
      <w:r w:rsidR="00423BB7" w:rsidRPr="00014EF4">
        <w:rPr>
          <w:rFonts w:ascii="Times New Roman" w:hAnsi="Times New Roman" w:cs="Times New Roman"/>
        </w:rPr>
        <w:t xml:space="preserve"> First, empirical Bayesian estimates of PK parameters were used to estimate individual concentration-time profiles that take into account individual dosage adjustments and interindividual variability. </w:t>
      </w:r>
      <w:r w:rsidRPr="00014EF4">
        <w:rPr>
          <w:rFonts w:ascii="Times New Roman" w:hAnsi="Times New Roman" w:cs="Times New Roman"/>
        </w:rPr>
        <w:t xml:space="preserve">Linezolid concentrations </w:t>
      </w:r>
      <w:r w:rsidRPr="00014EF4">
        <w:rPr>
          <w:rFonts w:ascii="Times New Roman" w:hAnsi="Times New Roman" w:cs="Times New Roman"/>
        </w:rPr>
        <w:lastRenderedPageBreak/>
        <w:t xml:space="preserve">at each instantaneous timepoint </w:t>
      </w:r>
      <w:r w:rsidR="00423BB7" w:rsidRPr="00014EF4">
        <w:rPr>
          <w:rFonts w:ascii="Times New Roman" w:hAnsi="Times New Roman" w:cs="Times New Roman"/>
        </w:rPr>
        <w:t>were</w:t>
      </w:r>
      <w:r w:rsidRPr="00014EF4">
        <w:rPr>
          <w:rFonts w:ascii="Times New Roman" w:hAnsi="Times New Roman" w:cs="Times New Roman"/>
        </w:rPr>
        <w:t xml:space="preserve"> then fed into the toxicity models as a covariate of the linezolid drug exposure-response </w:t>
      </w:r>
      <w:r w:rsidRPr="00A65A5F">
        <w:rPr>
          <w:rFonts w:ascii="Times New Roman" w:hAnsi="Times New Roman" w:cs="Times New Roman"/>
        </w:rPr>
        <w:t>relationship</w:t>
      </w:r>
      <w:r w:rsidR="00E46DFC" w:rsidRPr="00A65A5F">
        <w:rPr>
          <w:rFonts w:ascii="Times New Roman" w:hAnsi="Times New Roman" w:cs="Times New Roman"/>
        </w:rPr>
        <w:t xml:space="preserve"> </w:t>
      </w:r>
      <w:r w:rsidR="00E46DFC" w:rsidRPr="00A65A5F">
        <w:rPr>
          <w:color w:val="201F1E"/>
        </w:rPr>
        <w:t>(</w:t>
      </w:r>
      <m:oMath>
        <m:r>
          <w:rPr>
            <w:rFonts w:ascii="Cambria Math" w:hAnsi="Cambria Math"/>
            <w:color w:val="201F1E"/>
          </w:rPr>
          <m:t>E</m:t>
        </m:r>
      </m:oMath>
      <w:r w:rsidR="00E46DFC" w:rsidRPr="00A65A5F">
        <w:rPr>
          <w:color w:val="201F1E"/>
        </w:rPr>
        <w:t>)</w:t>
      </w:r>
      <w:r w:rsidRPr="00A65A5F">
        <w:rPr>
          <w:rFonts w:ascii="Times New Roman" w:hAnsi="Times New Roman" w:cs="Times New Roman"/>
        </w:rPr>
        <w:t xml:space="preserve"> using linear</w:t>
      </w:r>
      <w:r w:rsidR="00E46DFC">
        <w:rPr>
          <w:rFonts w:ascii="Times New Roman" w:hAnsi="Times New Roman" w:cs="Times New Roman"/>
        </w:rPr>
        <w:t xml:space="preserve"> </w:t>
      </w:r>
      <w:r w:rsidRPr="00014EF4">
        <w:rPr>
          <w:rFonts w:ascii="Times New Roman" w:hAnsi="Times New Roman" w:cs="Times New Roman"/>
        </w:rPr>
        <w:t xml:space="preserve">or sigmodal relationships. </w:t>
      </w:r>
    </w:p>
    <w:p w14:paraId="3DC755F8" w14:textId="77777777" w:rsidR="007A4270" w:rsidRPr="00014EF4" w:rsidRDefault="007A4270" w:rsidP="00386B99">
      <w:pPr>
        <w:rPr>
          <w:rFonts w:ascii="Times New Roman" w:hAnsi="Times New Roman" w:cs="Times New Roman"/>
        </w:rPr>
      </w:pPr>
    </w:p>
    <w:p w14:paraId="4F5148FE" w14:textId="7D599FC4"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After data exploration and consultation with the trial sponsor, it was decided that the maximum score of 4 participant-elicited </w:t>
      </w:r>
      <w:r w:rsidR="0062668A" w:rsidRPr="00014EF4">
        <w:rPr>
          <w:rFonts w:ascii="Times New Roman" w:hAnsi="Times New Roman" w:cs="Times New Roman"/>
        </w:rPr>
        <w:t xml:space="preserve">symptom </w:t>
      </w:r>
      <w:r w:rsidRPr="00014EF4">
        <w:rPr>
          <w:rFonts w:ascii="Times New Roman" w:hAnsi="Times New Roman" w:cs="Times New Roman"/>
        </w:rPr>
        <w:t>questions over time</w:t>
      </w:r>
      <w:r w:rsidR="0062668A" w:rsidRPr="00014EF4">
        <w:rPr>
          <w:rFonts w:ascii="Times New Roman" w:hAnsi="Times New Roman" w:cs="Times New Roman"/>
        </w:rPr>
        <w:t xml:space="preserve"> </w:t>
      </w:r>
      <w:r w:rsidR="00871751" w:rsidRPr="00014EF4">
        <w:rPr>
          <w:rFonts w:ascii="Times New Roman" w:hAnsi="Times New Roman" w:cs="Times New Roman"/>
        </w:rPr>
        <w:t xml:space="preserve">for each participant </w:t>
      </w:r>
      <w:r w:rsidRPr="00014EF4">
        <w:rPr>
          <w:rFonts w:ascii="Times New Roman" w:hAnsi="Times New Roman" w:cs="Times New Roman"/>
        </w:rPr>
        <w:t>was to be modeled to assess peripheral neuropathy. The questions addressed 4 symptoms: i.) interference with walking</w:t>
      </w:r>
      <w:r w:rsidR="00732D69" w:rsidRPr="00014EF4">
        <w:rPr>
          <w:rFonts w:ascii="Times New Roman" w:hAnsi="Times New Roman" w:cs="Times New Roman"/>
        </w:rPr>
        <w:t xml:space="preserve"> or sleeping</w:t>
      </w:r>
      <w:r w:rsidRPr="00014EF4">
        <w:rPr>
          <w:rFonts w:ascii="Times New Roman" w:hAnsi="Times New Roman" w:cs="Times New Roman"/>
        </w:rPr>
        <w:t>, ii.) pain, aching, or burning in feet or legs, iii.) pins and needles in feet or legs, and iv.) numbness in feet or legs. Participants were asked to ra</w:t>
      </w:r>
      <w:r w:rsidR="0062668A" w:rsidRPr="00014EF4">
        <w:rPr>
          <w:rFonts w:ascii="Times New Roman" w:hAnsi="Times New Roman" w:cs="Times New Roman"/>
        </w:rPr>
        <w:t>te</w:t>
      </w:r>
      <w:r w:rsidRPr="00014EF4">
        <w:rPr>
          <w:rFonts w:ascii="Times New Roman" w:hAnsi="Times New Roman" w:cs="Times New Roman"/>
        </w:rPr>
        <w:t xml:space="preserve"> each symptom</w:t>
      </w:r>
      <w:r w:rsidR="0062668A" w:rsidRPr="00014EF4">
        <w:rPr>
          <w:rFonts w:ascii="Times New Roman" w:hAnsi="Times New Roman" w:cs="Times New Roman"/>
        </w:rPr>
        <w:t xml:space="preserve"> and provide a score</w:t>
      </w:r>
      <w:r w:rsidRPr="00014EF4">
        <w:rPr>
          <w:rFonts w:ascii="Times New Roman" w:hAnsi="Times New Roman" w:cs="Times New Roman"/>
        </w:rPr>
        <w:t xml:space="preserve"> from 0 (normal) to 10 (worst or severe). </w:t>
      </w:r>
      <w:r w:rsidR="007A318F" w:rsidRPr="007A318F">
        <w:rPr>
          <w:rFonts w:ascii="Times New Roman" w:hAnsi="Times New Roman" w:cs="Times New Roman"/>
        </w:rPr>
        <w:t>The majority of maximum scores were 0 (normal), with fewer data at the higher score range</w:t>
      </w:r>
      <w:r w:rsidR="007A318F">
        <w:rPr>
          <w:rFonts w:ascii="Times New Roman" w:hAnsi="Times New Roman" w:cs="Times New Roman"/>
        </w:rPr>
        <w:t xml:space="preserve"> (Supplemental Figure 2)</w:t>
      </w:r>
      <w:r w:rsidR="007A318F" w:rsidRPr="007A318F">
        <w:rPr>
          <w:rFonts w:ascii="Times New Roman" w:hAnsi="Times New Roman" w:cs="Times New Roman"/>
        </w:rPr>
        <w:t xml:space="preserve">. </w:t>
      </w:r>
      <w:r w:rsidR="007A318F">
        <w:rPr>
          <w:rFonts w:ascii="Times New Roman" w:hAnsi="Times New Roman" w:cs="Times New Roman"/>
        </w:rPr>
        <w:t>Therefore, t</w:t>
      </w:r>
      <w:r w:rsidRPr="00014EF4">
        <w:rPr>
          <w:rFonts w:ascii="Times New Roman" w:hAnsi="Times New Roman" w:cs="Times New Roman"/>
        </w:rPr>
        <w:t xml:space="preserve">he maximum scores were grouped into 4 categories </w:t>
      </w:r>
      <w:r w:rsidR="00C35DF6" w:rsidRPr="006E305A">
        <w:rPr>
          <w:rFonts w:ascii="Times New Roman" w:hAnsi="Times New Roman" w:cs="Times New Roman"/>
        </w:rPr>
        <w:t xml:space="preserve">according to definition of </w:t>
      </w:r>
      <w:r w:rsidR="00C35DF6">
        <w:rPr>
          <w:rFonts w:ascii="Times New Roman" w:hAnsi="Times New Roman" w:cs="Times New Roman"/>
        </w:rPr>
        <w:t xml:space="preserve">symptom </w:t>
      </w:r>
      <w:r w:rsidR="00C35DF6" w:rsidRPr="006E305A">
        <w:rPr>
          <w:rFonts w:ascii="Times New Roman" w:hAnsi="Times New Roman" w:cs="Times New Roman"/>
        </w:rPr>
        <w:t xml:space="preserve">ratings on the Brief Peripheral Neuropathy </w:t>
      </w:r>
      <w:r w:rsidR="00C35DF6">
        <w:rPr>
          <w:rFonts w:ascii="Times New Roman" w:hAnsi="Times New Roman" w:cs="Times New Roman"/>
        </w:rPr>
        <w:t xml:space="preserve">Screen: </w:t>
      </w:r>
      <w:r w:rsidRPr="00014EF4">
        <w:rPr>
          <w:rFonts w:ascii="Times New Roman" w:hAnsi="Times New Roman" w:cs="Times New Roman"/>
        </w:rPr>
        <w:t>maximum score: 0, normal; 1-3, minimal; 4-7, modest; 8-10, severe neuropathy</w:t>
      </w:r>
      <w:r w:rsidR="007A318F">
        <w:rPr>
          <w:rFonts w:ascii="Times New Roman" w:hAnsi="Times New Roman" w:cs="Times New Roman"/>
        </w:rPr>
        <w:t xml:space="preserve">. </w:t>
      </w:r>
      <w:r w:rsidR="002A7A53">
        <w:rPr>
          <w:rFonts w:ascii="Times New Roman" w:hAnsi="Times New Roman" w:cs="Times New Roman"/>
        </w:rPr>
        <w:t>Hereafter</w:t>
      </w:r>
      <w:r w:rsidRPr="00014EF4">
        <w:rPr>
          <w:rFonts w:ascii="Times New Roman" w:hAnsi="Times New Roman" w:cs="Times New Roman"/>
        </w:rPr>
        <w:t xml:space="preserve">, neuropathy scores refer to these 4 categories. A proportional odds model was developed to describe the likelihood of occurrence of the neuropathy scores over time in the study. The likelihood was estimated using logit transformations to constrain values between 0 and 1 as shown in the equations below: </w:t>
      </w:r>
    </w:p>
    <w:p w14:paraId="7C6A1628" w14:textId="77777777" w:rsidR="00A67BF3" w:rsidRPr="00014EF4" w:rsidRDefault="00A67BF3" w:rsidP="00386B99">
      <w:pPr>
        <w:rPr>
          <w:rFonts w:ascii="Times New Roman" w:hAnsi="Times New Roman" w:cs="Times New Roman"/>
        </w:rPr>
      </w:pPr>
      <m:oMathPara>
        <m:oMath>
          <m:r>
            <w:rPr>
              <w:rFonts w:ascii="Cambria Math" w:hAnsi="Cambria Math" w:cs="Times New Roman"/>
            </w:rPr>
            <m:t>LOGIT= θ</m:t>
          </m:r>
        </m:oMath>
      </m:oMathPara>
    </w:p>
    <w:p w14:paraId="0CE0ED3A" w14:textId="77777777" w:rsidR="00A67BF3" w:rsidRPr="00014EF4" w:rsidRDefault="00A67BF3" w:rsidP="00386B99">
      <w:pPr>
        <w:rPr>
          <w:rFonts w:ascii="Times New Roman" w:hAnsi="Times New Roman" w:cs="Times New Roman"/>
        </w:rPr>
      </w:pPr>
    </w:p>
    <w:p w14:paraId="2BF984BE" w14:textId="77777777" w:rsidR="00A67BF3" w:rsidRPr="00014EF4" w:rsidRDefault="00A67BF3" w:rsidP="00386B99">
      <w:pPr>
        <w:rPr>
          <w:rFonts w:ascii="Times New Roman" w:hAnsi="Times New Roman" w:cs="Times New Roman"/>
        </w:rPr>
      </w:pPr>
      <m:oMathPara>
        <m:oMath>
          <m:r>
            <w:rPr>
              <w:rFonts w:ascii="Cambria Math" w:hAnsi="Cambria Math" w:cs="Times New Roman"/>
            </w:rPr>
            <m:t xml:space="preserve">L= </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LOGIT</m:t>
                  </m:r>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LOGIT</m:t>
                  </m:r>
                </m:sup>
              </m:sSup>
            </m:den>
          </m:f>
        </m:oMath>
      </m:oMathPara>
    </w:p>
    <w:p w14:paraId="1E66291E" w14:textId="77777777" w:rsidR="00A67BF3" w:rsidRPr="00014EF4" w:rsidRDefault="00A67BF3" w:rsidP="00386B99">
      <w:pPr>
        <w:rPr>
          <w:rFonts w:ascii="Times New Roman" w:hAnsi="Times New Roman" w:cs="Times New Roman"/>
        </w:rPr>
      </w:pPr>
    </w:p>
    <w:p w14:paraId="5044314C"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Where </w:t>
      </w:r>
      <m:oMath>
        <m:r>
          <w:rPr>
            <w:rFonts w:ascii="Cambria Math" w:hAnsi="Cambria Math" w:cs="Times New Roman"/>
          </w:rPr>
          <m:t>θ</m:t>
        </m:r>
        <m:r>
          <m:rPr>
            <m:sty m:val="p"/>
          </m:rPr>
          <w:rPr>
            <w:rFonts w:ascii="Cambria Math" w:hAnsi="Cambria Math" w:cs="Times New Roman"/>
          </w:rPr>
          <m:t xml:space="preserve"> </m:t>
        </m:r>
      </m:oMath>
      <w:r w:rsidRPr="00014EF4">
        <w:rPr>
          <w:rFonts w:ascii="Times New Roman" w:hAnsi="Times New Roman" w:cs="Times New Roman"/>
        </w:rPr>
        <w:t>represents the estimated value of the logit parameter for a particular neuropathy score and</w:t>
      </w:r>
      <m:oMath>
        <m:r>
          <m:rPr>
            <m:sty m:val="p"/>
          </m:rPr>
          <w:rPr>
            <w:rFonts w:ascii="Cambria Math" w:hAnsi="Cambria Math" w:cs="Times New Roman"/>
          </w:rPr>
          <m:t xml:space="preserve"> </m:t>
        </m:r>
        <m:r>
          <w:rPr>
            <w:rFonts w:ascii="Cambria Math" w:hAnsi="Cambria Math" w:cs="Times New Roman"/>
          </w:rPr>
          <m:t>L</m:t>
        </m:r>
      </m:oMath>
      <w:r w:rsidRPr="00014EF4">
        <w:rPr>
          <w:rFonts w:ascii="Times New Roman" w:hAnsi="Times New Roman" w:cs="Times New Roman"/>
        </w:rPr>
        <w:t xml:space="preserve"> is the likelihood of a patient experiencing that score. Because there are several possible ordered categorical scores (i.e.,  0 = normal, 1 = minimal, 2 = modest, 3 = severe.) the logits were calculated from values which were coded as shown below: </w:t>
      </w:r>
    </w:p>
    <w:p w14:paraId="632422CC" w14:textId="77777777" w:rsidR="00A67BF3" w:rsidRPr="00014EF4" w:rsidRDefault="00E90ACF" w:rsidP="00386B99">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m:oMathPara>
    </w:p>
    <w:p w14:paraId="7C57E56A" w14:textId="77777777" w:rsidR="00A67BF3" w:rsidRPr="00014EF4" w:rsidRDefault="00E90ACF" w:rsidP="00386B99">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m:oMathPara>
    </w:p>
    <w:p w14:paraId="530916A2" w14:textId="77777777" w:rsidR="00A67BF3" w:rsidRPr="00014EF4" w:rsidRDefault="00E90ACF" w:rsidP="00386B99">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3</m:t>
              </m:r>
            </m:sub>
          </m:sSub>
        </m:oMath>
      </m:oMathPara>
    </w:p>
    <w:p w14:paraId="1EB619E6"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Pr="00014EF4">
        <w:rPr>
          <w:rFonts w:ascii="Times New Roman" w:hAnsi="Times New Roman" w:cs="Times New Roman"/>
        </w:rPr>
        <w:t xml:space="preserve"> is the logit of a score greater than or equal to</w:t>
      </w:r>
      <m:oMath>
        <m:r>
          <w:rPr>
            <w:rFonts w:ascii="Cambria Math" w:hAnsi="Cambria Math" w:cs="Times New Roman"/>
          </w:rPr>
          <m:t xml:space="preserve"> </m:t>
        </m:r>
      </m:oMath>
      <w:r w:rsidRPr="00014EF4">
        <w:rPr>
          <w:rFonts w:ascii="Times New Roman" w:hAnsi="Times New Roman" w:cs="Times New Roman"/>
        </w:rPr>
        <w:t xml:space="preserve">1 and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sidRPr="00014EF4">
        <w:rPr>
          <w:rFonts w:ascii="Times New Roman" w:hAnsi="Times New Roman" w:cs="Times New Roman"/>
        </w:rPr>
        <w:t xml:space="preserve"> is the additive logit of a score greater than or equal to 2, and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sidRPr="00014EF4">
        <w:rPr>
          <w:rFonts w:ascii="Times New Roman" w:eastAsiaTheme="minorEastAsia" w:hAnsi="Times New Roman" w:cs="Times New Roman"/>
        </w:rPr>
        <w:t xml:space="preserve"> is the additive logit of a score equal to 3</w:t>
      </w:r>
      <w:r w:rsidRPr="00014EF4">
        <w:rPr>
          <w:rFonts w:ascii="Times New Roman" w:hAnsi="Times New Roman" w:cs="Times New Roman"/>
        </w:rPr>
        <w:t xml:space="preserve"> for possible ordered categorical scores of 0, 1, 2, or 3.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oMath>
      <w:r w:rsidRPr="00014EF4">
        <w:rPr>
          <w:rFonts w:ascii="Times New Roman" w:hAnsi="Times New Roman" w:cs="Times New Roman"/>
        </w:rPr>
        <w:t xml:space="preserve"> would then be used to calculate the likelihoods as shown below: </w:t>
      </w:r>
    </w:p>
    <w:p w14:paraId="4B0C4640" w14:textId="77777777" w:rsidR="00A67BF3" w:rsidRPr="00014EF4" w:rsidRDefault="00E90ACF" w:rsidP="00386B99">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m:t>
              </m:r>
            </m:sub>
          </m:sSub>
          <m:r>
            <w:rPr>
              <w:rFonts w:ascii="Cambria Math" w:hAnsi="Cambria Math" w:cs="Times New Roman"/>
            </w:rPr>
            <m:t xml:space="preserve">= </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sup>
              </m:sSup>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sup>
              </m:sSup>
            </m:den>
          </m:f>
        </m:oMath>
      </m:oMathPara>
    </w:p>
    <w:p w14:paraId="30EFD9D8"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m:t>
            </m:r>
          </m:sub>
        </m:sSub>
      </m:oMath>
      <w:r w:rsidRPr="00014EF4">
        <w:rPr>
          <w:rFonts w:ascii="Times New Roman" w:hAnsi="Times New Roman" w:cs="Times New Roman"/>
        </w:rPr>
        <w:t xml:space="preserve"> is the likelihood of having greater than or equal to a score </w:t>
      </w:r>
      <m:oMath>
        <m:r>
          <w:rPr>
            <w:rFonts w:ascii="Cambria Math" w:hAnsi="Cambria Math" w:cs="Times New Roman"/>
          </w:rPr>
          <m:t>n</m:t>
        </m:r>
      </m:oMath>
      <w:r w:rsidRPr="00014EF4">
        <w:rPr>
          <w:rFonts w:ascii="Times New Roman" w:hAnsi="Times New Roman" w:cs="Times New Roman"/>
        </w:rPr>
        <w:t xml:space="preserve">. The probability of a particular score was then calculated as follows: </w:t>
      </w:r>
    </w:p>
    <w:p w14:paraId="7C851014" w14:textId="77777777" w:rsidR="00A67BF3" w:rsidRPr="00014EF4" w:rsidRDefault="00E90ACF" w:rsidP="00386B99">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1-L</m:t>
              </m:r>
            </m:e>
            <m:sub>
              <m:r>
                <w:rPr>
                  <w:rFonts w:ascii="Cambria Math" w:hAnsi="Cambria Math" w:cs="Times New Roman"/>
                </w:rPr>
                <m:t>1</m:t>
              </m:r>
            </m:sub>
          </m:sSub>
        </m:oMath>
      </m:oMathPara>
    </w:p>
    <w:p w14:paraId="17C6BC97" w14:textId="77777777" w:rsidR="00A67BF3" w:rsidRPr="00014EF4" w:rsidRDefault="00E90ACF" w:rsidP="00386B99">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oMath>
      </m:oMathPara>
    </w:p>
    <w:p w14:paraId="3E3DA0EE" w14:textId="77777777" w:rsidR="00A67BF3" w:rsidRPr="00014EF4" w:rsidRDefault="00E90ACF" w:rsidP="00386B99">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3</m:t>
              </m:r>
            </m:sub>
          </m:sSub>
        </m:oMath>
      </m:oMathPara>
    </w:p>
    <w:p w14:paraId="5D53AD84" w14:textId="77777777" w:rsidR="00A67BF3" w:rsidRPr="00014EF4" w:rsidRDefault="00E90ACF" w:rsidP="00386B99">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3</m:t>
              </m:r>
            </m:sub>
          </m:sSub>
        </m:oMath>
      </m:oMathPara>
    </w:p>
    <w:p w14:paraId="6E347FBC" w14:textId="141CFBD9"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0</m:t>
            </m:r>
          </m:sub>
        </m:sSub>
      </m:oMath>
      <w:r w:rsidRPr="00014EF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1</m:t>
            </m:r>
          </m:sub>
        </m:sSub>
      </m:oMath>
      <w:r w:rsidRPr="00014EF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2</m:t>
            </m:r>
          </m:sub>
        </m:sSub>
      </m:oMath>
      <w:r w:rsidRPr="00014EF4">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Prob</m:t>
            </m:r>
          </m:e>
          <m:sub>
            <m:r>
              <w:rPr>
                <w:rFonts w:ascii="Cambria Math" w:hAnsi="Cambria Math" w:cs="Times New Roman"/>
              </w:rPr>
              <m:t>3</m:t>
            </m:r>
          </m:sub>
        </m:sSub>
      </m:oMath>
      <w:r w:rsidRPr="00014EF4">
        <w:rPr>
          <w:rFonts w:ascii="Times New Roman" w:hAnsi="Times New Roman" w:cs="Times New Roman"/>
        </w:rPr>
        <w:t xml:space="preserve"> are the probabilities of score 0, 1, 2, and 3, respectively. Because repeated scores are available for each individual over time an interindividual error term was added to the logits as follows: </w:t>
      </w:r>
    </w:p>
    <w:p w14:paraId="6F1546E1" w14:textId="77777777" w:rsidR="00A67BF3" w:rsidRPr="00014EF4" w:rsidRDefault="00A67BF3" w:rsidP="00386B99">
      <w:pPr>
        <w:rPr>
          <w:rFonts w:ascii="Times New Roman" w:hAnsi="Times New Roman" w:cs="Times New Roman"/>
        </w:rPr>
      </w:pPr>
      <m:oMathPara>
        <m:oMath>
          <m:r>
            <w:rPr>
              <w:rFonts w:ascii="Cambria Math" w:hAnsi="Cambria Math" w:cs="Times New Roman"/>
            </w:rPr>
            <m:t>LOGIT= θ+ η</m:t>
          </m:r>
        </m:oMath>
      </m:oMathPara>
    </w:p>
    <w:p w14:paraId="1E4D220C" w14:textId="725314B1"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where </w:t>
      </w:r>
      <m:oMath>
        <m:r>
          <w:rPr>
            <w:rFonts w:ascii="Cambria Math" w:hAnsi="Cambria Math" w:cs="Times New Roman"/>
          </w:rPr>
          <m:t xml:space="preserve"> η=N</m:t>
        </m:r>
        <m:d>
          <m:dPr>
            <m:ctrlPr>
              <w:rPr>
                <w:rFonts w:ascii="Cambria Math" w:hAnsi="Cambria Math" w:cs="Times New Roman"/>
                <w:i/>
              </w:rPr>
            </m:ctrlPr>
          </m:dPr>
          <m:e>
            <m:r>
              <w:rPr>
                <w:rFonts w:ascii="Cambria Math" w:hAnsi="Cambria Math" w:cs="Times New Roman"/>
              </w:rPr>
              <m:t xml:space="preserve">0, </m:t>
            </m:r>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e>
        </m:d>
      </m:oMath>
      <w:r w:rsidRPr="00014EF4">
        <w:rPr>
          <w:rFonts w:ascii="Times New Roman" w:eastAsiaTheme="minorEastAsia"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oMath>
      <w:r w:rsidRPr="00014EF4">
        <w:rPr>
          <w:rFonts w:ascii="Times New Roman" w:hAnsi="Times New Roman" w:cs="Times New Roman"/>
        </w:rPr>
        <w:t xml:space="preserve"> is estimated. The linezolid drug exposure-response relationship for the peripheral neuropathy score model,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PN</m:t>
            </m:r>
          </m:sub>
        </m:sSub>
      </m:oMath>
      <w:r w:rsidRPr="00014EF4">
        <w:rPr>
          <w:rFonts w:ascii="Times New Roman" w:hAnsi="Times New Roman" w:cs="Times New Roman"/>
        </w:rPr>
        <w:t xml:space="preserve">, was added to the logit terms as follows: </w:t>
      </w:r>
    </w:p>
    <w:p w14:paraId="101FE707" w14:textId="784DB91E" w:rsidR="00A67BF3" w:rsidRPr="00014EF4" w:rsidRDefault="00A67BF3" w:rsidP="00386B99">
      <w:pPr>
        <w:rPr>
          <w:rFonts w:ascii="Times New Roman" w:hAnsi="Times New Roman" w:cs="Times New Roman"/>
        </w:rPr>
      </w:pPr>
      <m:oMathPara>
        <m:oMath>
          <m:r>
            <w:rPr>
              <w:rFonts w:ascii="Cambria Math" w:hAnsi="Cambria Math" w:cs="Times New Roman"/>
            </w:rPr>
            <m:t>LOGIT</m:t>
          </m:r>
          <m:r>
            <m:rPr>
              <m:sty m:val="p"/>
            </m:rPr>
            <w:rPr>
              <w:rFonts w:ascii="Cambria Math" w:hAnsi="Cambria Math" w:cs="Times New Roman"/>
            </w:rPr>
            <m:t xml:space="preserve">= </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PN</m:t>
              </m:r>
            </m:sub>
          </m:sSub>
          <m:r>
            <m:rPr>
              <m:sty m:val="p"/>
            </m:rPr>
            <w:rPr>
              <w:rFonts w:ascii="Cambria Math" w:hAnsi="Cambria Math" w:cs="Times New Roman"/>
            </w:rPr>
            <m:t xml:space="preserve">+ </m:t>
          </m:r>
          <m:r>
            <w:rPr>
              <w:rFonts w:ascii="Cambria Math" w:hAnsi="Cambria Math" w:cs="Times New Roman"/>
            </w:rPr>
            <m:t>η</m:t>
          </m:r>
        </m:oMath>
      </m:oMathPara>
    </w:p>
    <w:p w14:paraId="32EEA1A7" w14:textId="5B5A92D6" w:rsidR="00A67BF3" w:rsidRPr="00014EF4" w:rsidRDefault="00A67BF3" w:rsidP="00386B99">
      <w:pPr>
        <w:rPr>
          <w:rFonts w:ascii="Times New Roman" w:hAnsi="Times New Roman" w:cs="Times New Roman"/>
        </w:rPr>
      </w:pPr>
      <w:r w:rsidRPr="00014EF4">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PN</m:t>
            </m:r>
          </m:sub>
        </m:sSub>
      </m:oMath>
      <w:r w:rsidRPr="00014EF4" w:rsidDel="00B427F9">
        <w:rPr>
          <w:rFonts w:ascii="Times New Roman" w:hAnsi="Times New Roman" w:cs="Times New Roman"/>
        </w:rPr>
        <w:t xml:space="preserve"> </w:t>
      </w:r>
      <w:r w:rsidRPr="00014EF4">
        <w:rPr>
          <w:rFonts w:ascii="Times New Roman" w:hAnsi="Times New Roman" w:cs="Times New Roman"/>
        </w:rPr>
        <w:t>can be described using a linear or sigmoidal relationship. An additional effect compartment was included in the model to account for delays between treatment initiation and increased probability of peripheral neuropathy. The transfer of plasma concentration into the effect compartment was described by the following differential</w:t>
      </w:r>
      <w:r w:rsidR="00BB21CB" w:rsidRPr="00014EF4">
        <w:rPr>
          <w:rFonts w:ascii="Times New Roman" w:hAnsi="Times New Roman" w:cs="Times New Roman"/>
        </w:rPr>
        <w:t xml:space="preserve"> equation</w:t>
      </w:r>
      <w:r w:rsidRPr="00014EF4">
        <w:rPr>
          <w:rFonts w:ascii="Times New Roman" w:hAnsi="Times New Roman" w:cs="Times New Roman"/>
        </w:rPr>
        <w:t>:</w:t>
      </w:r>
    </w:p>
    <w:p w14:paraId="07BC60A8" w14:textId="77777777" w:rsidR="00A67BF3" w:rsidRPr="00014EF4" w:rsidRDefault="00E90ACF" w:rsidP="00386B99">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E</m:t>
                  </m:r>
                </m:sub>
              </m:sSub>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e0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E</m:t>
              </m:r>
            </m:sub>
          </m:sSub>
          <m:r>
            <w:rPr>
              <w:rFonts w:ascii="Cambria Math" w:hAnsi="Cambria Math" w:cs="Times New Roman"/>
            </w:rPr>
            <m:t>)</m:t>
          </m:r>
        </m:oMath>
      </m:oMathPara>
    </w:p>
    <w:p w14:paraId="60D4D077" w14:textId="220E0EDF"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m:t>
            </m:r>
            <m:r>
              <m:rPr>
                <m:sty m:val="p"/>
              </m:rPr>
              <w:rPr>
                <w:rFonts w:ascii="Cambria Math" w:hAnsi="Cambria Math" w:cs="Times New Roman"/>
              </w:rPr>
              <m:t>0</m:t>
            </m:r>
          </m:sub>
        </m:sSub>
      </m:oMath>
      <w:r w:rsidRPr="00014EF4">
        <w:rPr>
          <w:rFonts w:ascii="Times New Roman" w:hAnsi="Times New Roman" w:cs="Times New Roman"/>
        </w:rPr>
        <w:t xml:space="preserve"> is the first order effect compartment rate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r>
          <w:rPr>
            <w:rFonts w:ascii="Cambria Math" w:hAnsi="Cambria Math" w:cs="Times New Roman"/>
          </w:rPr>
          <m:t xml:space="preserve"> </m:t>
        </m:r>
      </m:oMath>
      <w:r w:rsidRPr="00014EF4">
        <w:rPr>
          <w:rFonts w:ascii="Times New Roman" w:hAnsi="Times New Roman" w:cs="Times New Roman"/>
        </w:rPr>
        <w:t xml:space="preserve">is linezolid concentration in central compartment at time </w:t>
      </w:r>
      <m:oMath>
        <m:r>
          <w:rPr>
            <w:rFonts w:ascii="Cambria Math" w:hAnsi="Cambria Math" w:cs="Times New Roman"/>
          </w:rPr>
          <m:t>t</m:t>
        </m:r>
      </m:oMath>
      <w:r w:rsidRPr="00014EF4">
        <w:rPr>
          <w:rFonts w:ascii="Times New Roman" w:hAnsi="Times New Roman" w:cs="Times New Roman"/>
        </w:rPr>
        <w:t>. The apparent drug concentration in the effect compartment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E</m:t>
            </m:r>
          </m:sub>
        </m:sSub>
      </m:oMath>
      <w:r w:rsidRPr="00014EF4">
        <w:rPr>
          <w:rFonts w:ascii="Times New Roman" w:hAnsi="Times New Roman" w:cs="Times New Roman"/>
        </w:rPr>
        <w:t>) was then used to describe the effective linezolid concentration in the linezolid drug exposure-response relationship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PN</m:t>
            </m:r>
          </m:sub>
        </m:sSub>
        <m:r>
          <w:rPr>
            <w:rFonts w:ascii="Cambria Math" w:hAnsi="Cambria Math" w:cs="Times New Roman"/>
          </w:rPr>
          <m:t>=</m:t>
        </m:r>
        <m:f>
          <m:fPr>
            <m:ctrlPr>
              <w:rPr>
                <w:rFonts w:ascii="Cambria Math" w:eastAsia="Times New Roman" w:hAnsi="Cambria Math" w:cs="Times New Roman"/>
                <w:i/>
                <w:color w:val="000000"/>
              </w:rPr>
            </m:ctrlPr>
          </m:fPr>
          <m:num>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PN</m:t>
                </m:r>
              </m:sub>
            </m:sSub>
            <m:r>
              <w:rPr>
                <w:rFonts w:ascii="Cambria Math" w:eastAsia="Times New Roman" w:hAnsi="Cambria Math" w:cs="Times New Roman"/>
                <w:color w:val="000000"/>
              </w:rPr>
              <m:t xml:space="preserve"> </m:t>
            </m:r>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E</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PN</m:t>
                    </m:r>
                  </m:sub>
                </m:sSub>
              </m:sup>
            </m:sSup>
          </m:num>
          <m:den>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E50</m:t>
                        </m:r>
                      </m:sub>
                    </m:sSub>
                  </m:e>
                  <m:sub>
                    <m:r>
                      <w:rPr>
                        <w:rFonts w:ascii="Cambria Math" w:eastAsia="Times New Roman" w:hAnsi="Cambria Math" w:cs="Times New Roman"/>
                        <w:color w:val="000000"/>
                      </w:rPr>
                      <m:t>PN</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PN</m:t>
                    </m:r>
                  </m:sub>
                </m:sSub>
              </m:sup>
            </m:sSup>
            <m:r>
              <w:rPr>
                <w:rFonts w:ascii="Cambria Math" w:eastAsia="Times New Roman" w:hAnsi="Cambria Math" w:cs="Times New Roman"/>
                <w:color w:val="000000"/>
              </w:rPr>
              <m:t>+</m:t>
            </m:r>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E</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PN</m:t>
                    </m:r>
                  </m:sub>
                </m:sSub>
              </m:sup>
            </m:sSup>
          </m:den>
        </m:f>
      </m:oMath>
      <w:r w:rsidRPr="00014EF4">
        <w:rPr>
          <w:rFonts w:ascii="Times New Roman" w:hAnsi="Times New Roman" w:cs="Times New Roman"/>
        </w:rPr>
        <w:t xml:space="preserve">]. </w:t>
      </w:r>
    </w:p>
    <w:p w14:paraId="53F0663A" w14:textId="77777777" w:rsidR="0068175D" w:rsidRDefault="0068175D" w:rsidP="00386B99">
      <w:pPr>
        <w:rPr>
          <w:rFonts w:ascii="Times New Roman" w:hAnsi="Times New Roman" w:cs="Times New Roman"/>
        </w:rPr>
      </w:pPr>
    </w:p>
    <w:p w14:paraId="5F4E515A" w14:textId="105D5502"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Patient characteristics (age, sex, </w:t>
      </w:r>
      <w:r w:rsidR="00B8505D">
        <w:rPr>
          <w:rFonts w:ascii="Times New Roman" w:hAnsi="Times New Roman" w:cs="Times New Roman"/>
        </w:rPr>
        <w:t xml:space="preserve">body </w:t>
      </w:r>
      <w:r w:rsidRPr="00014EF4">
        <w:rPr>
          <w:rFonts w:ascii="Times New Roman" w:hAnsi="Times New Roman" w:cs="Times New Roman"/>
        </w:rPr>
        <w:t xml:space="preserve">weight, BMI, and HIV status) were tested as additional covariates on the logits in an additive manner as shown below: </w:t>
      </w:r>
    </w:p>
    <w:p w14:paraId="5A93C7A7" w14:textId="6792F8F4" w:rsidR="00A67BF3" w:rsidRPr="00014EF4" w:rsidRDefault="00A67BF3" w:rsidP="00386B99">
      <w:pPr>
        <w:rPr>
          <w:rFonts w:ascii="Times New Roman" w:hAnsi="Times New Roman" w:cs="Times New Roman"/>
        </w:rPr>
      </w:pPr>
      <m:oMathPara>
        <m:oMath>
          <m:r>
            <w:rPr>
              <w:rFonts w:ascii="Cambria Math" w:hAnsi="Cambria Math" w:cs="Times New Roman"/>
            </w:rPr>
            <m:t>LOGIT</m:t>
          </m:r>
          <m:r>
            <m:rPr>
              <m:sty m:val="p"/>
            </m:rPr>
            <w:rPr>
              <w:rFonts w:ascii="Cambria Math" w:hAnsi="Cambria Math" w:cs="Times New Roman"/>
            </w:rPr>
            <m:t xml:space="preserve">= </m:t>
          </m:r>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PN</m:t>
              </m:r>
            </m:sub>
          </m:sSub>
          <m:r>
            <m:rPr>
              <m:sty m:val="p"/>
            </m:rPr>
            <w:rPr>
              <w:rFonts w:ascii="Cambria Math" w:hAnsi="Cambria Math" w:cs="Times New Roman"/>
            </w:rPr>
            <m:t xml:space="preserve">+ </m:t>
          </m:r>
          <m:r>
            <w:rPr>
              <w:rFonts w:ascii="Cambria Math" w:hAnsi="Cambria Math" w:cs="Times New Roman"/>
            </w:rPr>
            <m:t>COV(x)</m:t>
          </m:r>
          <m:r>
            <m:rPr>
              <m:sty m:val="p"/>
            </m:rPr>
            <w:rPr>
              <w:rFonts w:ascii="Cambria Math" w:hAnsi="Cambria Math" w:cs="Times New Roman"/>
            </w:rPr>
            <m:t>+</m:t>
          </m:r>
          <m:r>
            <w:rPr>
              <w:rFonts w:ascii="Cambria Math" w:hAnsi="Cambria Math" w:cs="Times New Roman"/>
            </w:rPr>
            <m:t>η</m:t>
          </m:r>
        </m:oMath>
      </m:oMathPara>
    </w:p>
    <w:p w14:paraId="725F4953" w14:textId="16A1BB9D"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where </w:t>
      </w:r>
      <m:oMath>
        <m:r>
          <w:rPr>
            <w:rFonts w:ascii="Cambria Math" w:hAnsi="Cambria Math" w:cs="Times New Roman"/>
          </w:rPr>
          <m:t>COV(x)</m:t>
        </m:r>
      </m:oMath>
      <w:r w:rsidRPr="00014EF4">
        <w:rPr>
          <w:rFonts w:ascii="Times New Roman" w:hAnsi="Times New Roman" w:cs="Times New Roman"/>
        </w:rPr>
        <w:t xml:space="preserve"> is the covariate relationship of interest. </w:t>
      </w:r>
    </w:p>
    <w:p w14:paraId="657A108A" w14:textId="77777777" w:rsidR="007A4270" w:rsidRPr="00014EF4" w:rsidRDefault="007A4270" w:rsidP="00386B99">
      <w:pPr>
        <w:rPr>
          <w:rFonts w:ascii="Times New Roman" w:hAnsi="Times New Roman" w:cs="Times New Roman"/>
        </w:rPr>
      </w:pPr>
    </w:p>
    <w:p w14:paraId="4C8CF86D" w14:textId="5A801DD6" w:rsidR="00A67BF3" w:rsidRPr="00014EF4" w:rsidRDefault="00A67BF3" w:rsidP="00386B99">
      <w:pPr>
        <w:rPr>
          <w:rFonts w:ascii="Times New Roman" w:hAnsi="Times New Roman" w:cs="Times New Roman"/>
        </w:rPr>
      </w:pPr>
      <w:r w:rsidRPr="00014EF4">
        <w:rPr>
          <w:rFonts w:ascii="Times New Roman" w:hAnsi="Times New Roman" w:cs="Times New Roman"/>
        </w:rPr>
        <w:t>Hematological toxicity data (hemoglobin level and platelet count) were characterized with delayed response PK-pharmacodynamic (PKPD) models to account for the observed delay between linezolid treatment initiation and response (decline in hematological profiles). Mechanistic</w:t>
      </w:r>
      <w:r w:rsidR="00F2206C" w:rsidRPr="00014EF4">
        <w:rPr>
          <w:rFonts w:ascii="Times New Roman" w:hAnsi="Times New Roman" w:cs="Times New Roman"/>
        </w:rPr>
        <w:fldChar w:fldCharType="begin" w:fldLock="1"/>
      </w:r>
      <w:r w:rsidR="00255B0B">
        <w:rPr>
          <w:rFonts w:ascii="Times New Roman" w:hAnsi="Times New Roman" w:cs="Times New Roman"/>
        </w:rPr>
        <w:instrText>ADDIN CSL_CITATION {"citationItems":[{"id":"ITEM-1","itemData":{"DOI":"10.1128/AAC.01885-13","ISSN":"1098-6596","PMID":"24514086","abstract":"Thrombocytopenia is a common side effect of linezolid, an oxazolidinone antibiotic often used to treat multidrug-resistant Gram-positive bacterial infections. Various risk factors have been suggested, including linezolid dose and duration of therapy, baseline platelet counts, and renal dysfunction; still, the mechanisms behind this potentially treatment-limiting toxicity are largely unknown. A clinical study was conducted to investigate the relationship between linezolid pharmacokinetics and toxicodynamics and inform strategies to prevent and manage linezolid-associated toxicity. Forty-one patients received 42 separate treatment courses of linezolid (600 mg every 12 h). A new mechanism-based, population pharmacokinetic/toxicodynamic model was developed to describe the time course of plasma linezolid concentrations and platelets. A linezolid concentration of 8.06 mg/liter (101% between-patient variability) inhibited the synthesis of platelet precursor cells by 50%. Simulations predicted treatment durations of 5 and 7 days to carry a substantially lower risk than 10- to 28-day therapy for platelet nadirs of &lt;100 ×10(9)/liter. The risk for toxicity did not differ noticeably between 14 and 28 days of therapy and was significantly higher for patients with lower baseline platelet counts. Due to the increased risk of toxicity after longer durations of linezolid therapy and large between-patient variability, close monitoring of patients for development of toxicity is important. Dose individualization based on plasma linezolid concentration profiles and platelet counts should be considered to minimize linezolid-associated thrombocytopenia. Overall, oxazolidinone therapy over 5 to 7 days even at relatively high doses was predicted to be as safe as 10-day therapy of 600 mg linezolid every 12 h.","author":[{"dropping-particle":"","family":"Boak","given":"Lauren M","non-dropping-particle":"","parse-names":false,"suffix":""},{"dropping-particle":"","family":"Rayner","given":"Craig R","non-dropping-particle":"","parse-names":false,"suffix":""},{"dropping-particle":"","family":"Grayson","given":"M Lindsay","non-dropping-particle":"","parse-names":false,"suffix":""},{"dropping-particle":"","family":"Paterson","given":"David L","non-dropping-particle":"","parse-names":false,"suffix":""},{"dropping-particle":"","family":"Spelman","given":"Denis","non-dropping-particle":"","parse-names":false,"suffix":""},{"dropping-particle":"","family":"Khumra","given":"Sharmila","non-dropping-particle":"","parse-names":false,"suffix":""},{"dropping-particle":"","family":"Capitano","given":"Blair","non-dropping-particle":"","parse-names":false,"suffix":""},{"dropping-particle":"","family":"Forrest","given":"Alan","non-dropping-particle":"","parse-names":false,"suffix":""},{"dropping-particle":"","family":"Li","given":"Jian","non-dropping-particle":"","parse-names":false,"suffix":""},{"dropping-particle":"","family":"Nation","given":"Roger L","non-dropping-particle":"","parse-names":false,"suffix":""},{"dropping-particle":"","family":"Bulitta","given":"Jurgen B","non-dropping-particle":"","parse-names":false,"suffix":""}],"container-title":"Antimicrobial agents and chemotherapy","id":"ITEM-1","issue":"4","issued":{"date-parts":[["2014"]]},"page":"2334-43","title":"Clinical population pharmacokinetics and toxicodynamics of linezolid.","type":"article-journal","volume":"58"},"uris":["http://www.mendeley.com/documents/?uuid=20280f70-d671-3166-bb13-dae5b2233a40"]}],"mendeley":{"formattedCitation":"[5]","plainTextFormattedCitation":"[5]","previouslyFormattedCitation":"[5]"},"properties":{"noteIndex":0},"schema":"https://github.com/citation-style-language/schema/raw/master/csl-citation.json"}</w:instrText>
      </w:r>
      <w:r w:rsidR="00F2206C" w:rsidRPr="00014EF4">
        <w:rPr>
          <w:rFonts w:ascii="Times New Roman" w:hAnsi="Times New Roman" w:cs="Times New Roman"/>
        </w:rPr>
        <w:fldChar w:fldCharType="separate"/>
      </w:r>
      <w:r w:rsidR="00255B0B" w:rsidRPr="00255B0B">
        <w:rPr>
          <w:rFonts w:ascii="Times New Roman" w:hAnsi="Times New Roman" w:cs="Times New Roman"/>
          <w:noProof/>
        </w:rPr>
        <w:t>[5]</w:t>
      </w:r>
      <w:r w:rsidR="00F2206C" w:rsidRPr="00014EF4">
        <w:rPr>
          <w:rFonts w:ascii="Times New Roman" w:hAnsi="Times New Roman" w:cs="Times New Roman"/>
        </w:rPr>
        <w:fldChar w:fldCharType="end"/>
      </w:r>
      <w:r w:rsidRPr="00014EF4">
        <w:rPr>
          <w:rFonts w:ascii="Times New Roman" w:hAnsi="Times New Roman" w:cs="Times New Roman"/>
        </w:rPr>
        <w:t>, semi-mechanistic</w:t>
      </w:r>
      <w:r w:rsidR="00F2206C"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{"citationItems":[{"id":"ITEM-1","itemData":{"DOI":"10.1200/JCO.2002.02.140","ISSN":"0732-183X","PMID":"12488418","abstract":"PURPOSE To develop a semimechanistic pharmacokinetic-pharmacodynamic model describing chemotherapy-induced myelosuppression through drug-specific parameters and system-related parameters, which are common to all drugs. PATIENTS AND METHODS Patient leukocyte and neutrophil data after administration of docetaxel, paclitaxel, and etoposide were used to develop the model, which was also applied to myelosuppression data from 2'-deoxy-2'-methylidenecytidine (DMDC), irinotecan (CPT-11), and vinflunine administrations. The model consisted of a proliferating compartment that was sensitive to drugs, three transit compartments that represented maturation, and a compartment of circulating blood cells. Three system-related parameters were estimated: baseline, mean transit time, and a feedback parameter. Drug concentration-time profiles affected the proliferation of sensitive cells by either an inhibitory linear model or an inhibitory E(max) model. To evaluate the model, system-related parameters were fixed to the same values for all drugs, which were based on the results from the estimations, and only drug-specific parameters were estimated. All modeling was performed using NONMEM software. RESULTS For all investigated drugs, the model successfully described myelosuppression. Consecutive courses and different schedules of administration were also well characterized. Similar system-related parameter estimates were obtained for the different drugs and also for leukocytes compared with neutrophils. In addition, when system-related parameters were fixed, the model well characterized chemotherapy-induced myelosuppression for the different drugs. CONCLUSION This model predicted myelosuppression after administration of one of several different chemotherapeutic drugs. In addition, with fixed system-related parameters to proposed values, and only drug-related parameters estimated, myelosuppression can be predicted. We propose that this model can be a useful tool in the development of anticancer drugs and therapies.","author":[{"dropping-particle":"","family":"Friberg","given":"Lena E.","non-dropping-particle":"","parse-names":false,"suffix":""},{"dropping-particle":"","family":"Henningsson","given":"Anja","non-dropping-particle":"","parse-names":false,"suffix":""},{"dropping-particle":"","family":"Maas","given":"Hugo","non-dropping-particle":"","parse-names":false,"suffix":""},{"dropping-particle":"","family":"Nguyen","given":"Laurent","non-dropping-particle":"","parse-names":false,"suffix":""},{"dropping-particle":"","family":"Karlsson","given":"Mats O.","non-dropping-particle":"","parse-names":false,"suffix":""}],"container-title":"Journal of Clinical Oncology","id":"ITEM-1","issue":"24","issued":{"date-parts":[["2002"]]},"page":"4713-4721","title":"Model of Chemotherapy-Induced Myelosuppression With Parameter Consistency Across Drugs","type":"article-journal","volume":"20"},"uris":["http://www.mendeley.com/documents/?uuid=3702e7c7-cd88-3845-b240-caa7eeba4003"]}],"mendeley":{"formattedCitation":"[13]","plainTextFormattedCitation":"[13]","previouslyFormattedCitation":"[13]"},"properties":{"noteIndex":0},"schema":"https://github.com/citation-style-language/schema/raw/master/csl-citation.json"}</w:instrText>
      </w:r>
      <w:r w:rsidR="00F2206C" w:rsidRPr="00014EF4">
        <w:rPr>
          <w:rFonts w:ascii="Times New Roman" w:hAnsi="Times New Roman" w:cs="Times New Roman"/>
        </w:rPr>
        <w:fldChar w:fldCharType="separate"/>
      </w:r>
      <w:r w:rsidR="00180CEA" w:rsidRPr="00180CEA">
        <w:rPr>
          <w:rFonts w:ascii="Times New Roman" w:hAnsi="Times New Roman" w:cs="Times New Roman"/>
          <w:noProof/>
        </w:rPr>
        <w:t>[13]</w:t>
      </w:r>
      <w:r w:rsidR="00F2206C" w:rsidRPr="00014EF4">
        <w:rPr>
          <w:rFonts w:ascii="Times New Roman" w:hAnsi="Times New Roman" w:cs="Times New Roman"/>
        </w:rPr>
        <w:fldChar w:fldCharType="end"/>
      </w:r>
      <w:r w:rsidRPr="00014EF4">
        <w:rPr>
          <w:rFonts w:ascii="Times New Roman" w:hAnsi="Times New Roman" w:cs="Times New Roman"/>
        </w:rPr>
        <w:t>, and more empirical models (indirect PKPD model)</w:t>
      </w:r>
      <w:r w:rsidR="00F2206C"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{"citationItems":[{"id":"ITEM-1","itemData":{"DOI":"10.1046/J.1365-2125.1998.00676.X","ISSN":"0306-5251","PMID":"9517366","abstract":"This review describes four basic physiologic indirect pharmacodynamic response (IDR) models which have been proposed to characterize the pharmacodynamics of drugs that act by indirect mechanisms such as inhibition or stimulation of the production or dissipation of factors controlling the measured effect. The principles underlying IDR models and their response patterns are described. The applicability of these basic IDR models to characterize pharmacodynamic responses of diverse drugs such as inhibition of gastric acid secretion by nizatidine and stimulation of MX protein synthesis by interferon alpha-2a is demonstrated. A list of other uses of these models is provided. These models can be readily extended to accommodate additional complexities such as nonstationary or circadian baselines, equilibration delay, depletion or accumulation of a precursor pool, sigmoidicity, or other mechanisms. Indirect response models which have a logical mechanistic basis account for time-delays in many responses and are widely applicable in clinical pharmacology.","author":[{"dropping-particle":"","family":"Sharma","given":"A","non-dropping-particle":"","parse-names":false,"suffix":""},{"dropping-particle":"","family":"Jusko","given":"W J","non-dropping-particle":"","parse-names":false,"suffix":""}],"container-title":"British journal of clinical pharmacology","id":"ITEM-1","issue":"3","issued":{"date-parts":[["1998"]]},"page":"229-39","title":"Characteristics of indirect pharmacodynamic models and applications to clinical drug responses.","type":"article-journal","volume":"45"},"uris":["http://www.mendeley.com/documents/?uuid=acaa5710-2a45-3f01-a2ff-048bc9d7b074"]}],"mendeley":{"formattedCitation":"[14]","plainTextFormattedCitation":"[14]","previouslyFormattedCitation":"[14]"},"properties":{"noteIndex":0},"schema":"https://github.com/citation-style-language/schema/raw/master/csl-citation.json"}</w:instrText>
      </w:r>
      <w:r w:rsidR="00F2206C" w:rsidRPr="00014EF4">
        <w:rPr>
          <w:rFonts w:ascii="Times New Roman" w:hAnsi="Times New Roman" w:cs="Times New Roman"/>
        </w:rPr>
        <w:fldChar w:fldCharType="separate"/>
      </w:r>
      <w:r w:rsidR="00180CEA" w:rsidRPr="00180CEA">
        <w:rPr>
          <w:rFonts w:ascii="Times New Roman" w:hAnsi="Times New Roman" w:cs="Times New Roman"/>
          <w:noProof/>
        </w:rPr>
        <w:t>[14]</w:t>
      </w:r>
      <w:r w:rsidR="00F2206C" w:rsidRPr="00014EF4">
        <w:rPr>
          <w:rFonts w:ascii="Times New Roman" w:hAnsi="Times New Roman" w:cs="Times New Roman"/>
        </w:rPr>
        <w:fldChar w:fldCharType="end"/>
      </w:r>
      <w:r w:rsidRPr="00014EF4">
        <w:rPr>
          <w:rFonts w:ascii="Times New Roman" w:hAnsi="Times New Roman" w:cs="Times New Roman"/>
        </w:rPr>
        <w:t xml:space="preserve"> were tested for each hematological response of interest (hemoglobin level and platelet count profiles). The effect of linezolid exposure was included in the structural PKPD models by inhibiting the first-order proliferative rate of progenitor cells (mechanistic or semi-mechanistic models) or more empirically the zero-order synthesis rate of response in an indirect PKPD model. The most mechanistic model that supported our data for each of hematological responses was used. Interindividual variability was modeled with a log-normal distribution in</w:t>
      </w:r>
      <w:r w:rsidR="000B5A0C" w:rsidRPr="00014EF4">
        <w:rPr>
          <w:rFonts w:ascii="Times New Roman" w:hAnsi="Times New Roman" w:cs="Times New Roman"/>
        </w:rPr>
        <w:t xml:space="preserve"> the</w:t>
      </w:r>
      <w:r w:rsidRPr="00014EF4">
        <w:rPr>
          <w:rFonts w:ascii="Times New Roman" w:hAnsi="Times New Roman" w:cs="Times New Roman"/>
        </w:rPr>
        <w:t xml:space="preserve"> hematological model</w:t>
      </w:r>
      <w:r w:rsidR="000B5A0C" w:rsidRPr="00014EF4">
        <w:rPr>
          <w:rFonts w:ascii="Times New Roman" w:hAnsi="Times New Roman" w:cs="Times New Roman"/>
        </w:rPr>
        <w:t>s</w:t>
      </w:r>
      <w:r w:rsidRPr="00014EF4">
        <w:rPr>
          <w:rFonts w:ascii="Times New Roman" w:hAnsi="Times New Roman" w:cs="Times New Roman"/>
        </w:rPr>
        <w:t xml:space="preserve">. Additive and/or proportional error models were explored to explain residual variability. Response model parameters were tested for covariate effects similar to the approach described for PK modeling. </w:t>
      </w:r>
    </w:p>
    <w:p w14:paraId="519F16FF" w14:textId="77777777" w:rsidR="007A4270" w:rsidRPr="00014EF4" w:rsidRDefault="007A4270" w:rsidP="00386B99">
      <w:pPr>
        <w:rPr>
          <w:rFonts w:ascii="Times New Roman" w:hAnsi="Times New Roman" w:cs="Times New Roman"/>
        </w:rPr>
      </w:pPr>
    </w:p>
    <w:p w14:paraId="5723506D" w14:textId="5F07CAD3"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Exploratory analysis in the Nix-TB data showed several patients (73/88, 83%) had increasing hemoglobin levels at the end of treatment compared to pretreatment (median level, 12.1 g/dL at pretreatment vs 13.5 g/dL at end of treatment), which were not captured by the indirect PKPD model used to describe hemoglobin level profiles. </w:t>
      </w:r>
      <w:r w:rsidR="003668E4" w:rsidRPr="00014EF4">
        <w:rPr>
          <w:rFonts w:ascii="Times New Roman" w:hAnsi="Times New Roman" w:cs="Times New Roman"/>
        </w:rPr>
        <w:t>T</w:t>
      </w:r>
      <w:r w:rsidRPr="00014EF4">
        <w:rPr>
          <w:rFonts w:ascii="Times New Roman" w:hAnsi="Times New Roman" w:cs="Times New Roman"/>
        </w:rPr>
        <w:t>he indirect PKPD model assumes hemoglobin levels are at steady state at pretreatment, decrease during treatment, and return to steady state when linezolid administration is stopped. The increase</w:t>
      </w:r>
      <w:r w:rsidR="003668E4" w:rsidRPr="00014EF4">
        <w:rPr>
          <w:rFonts w:ascii="Times New Roman" w:hAnsi="Times New Roman" w:cs="Times New Roman"/>
        </w:rPr>
        <w:t>s</w:t>
      </w:r>
      <w:r w:rsidRPr="00014EF4">
        <w:rPr>
          <w:rFonts w:ascii="Times New Roman" w:hAnsi="Times New Roman" w:cs="Times New Roman"/>
        </w:rPr>
        <w:t xml:space="preserve"> in hemoglobin levels observed in the Nix-TB data are consistent with previous findings that preexisting anemia may resolve with TB treatment, representing a paradoxical contrast between the effects of linezolid on hemoglobin levels from toxicity vs TB improvement</w:t>
      </w:r>
      <w:r w:rsidR="00F2206C"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{"citationItems":[{"id":"ITEM-1","itemData":{"DOI":"10.1093/cid/ciu945","ISSN":"1537-6591","author":[{"dropping-particle":"","family":"Minchella","given":"Peter A.","non-dropping-particle":"","parse-names":false,"suffix":""},{"dropping-particle":"","family":"Donkor","given":"Simon","non-dropping-particle":"","parse-names":false,"suffix":""},{"dropping-particle":"","family":"Owolabi","given":"Olumuyiwa","non-dropping-particle":"","parse-names":false,"suffix":""},{"dropping-particle":"","family":"Sutherland","given":"Jayne S.","non-dropping-particle":"","parse-names":false,"suffix":""},{"dropping-particle":"","family":"McDermid","given":"Joann M.","non-dropping-particle":"","parse-names":false,"suffix":""}],"container-title":"Clinical Infectious Diseases","id":"ITEM-1","issue":"5","issued":{"date-parts":[["2015"]]},"page":"764-772","title":"Complex Anemia in Tuberculosis: The Need to Consider Causes and Timing When Designing Interventions","type":"article-journal","volume":"60"},"uris":["http://www.mendeley.com/documents/?uuid=a915f311-5de6-3feb-9ca2-13e16979a76f"]},{"id":"ITEM-2","itemData":{"DOI":"10.3346/jkms.2006.21.6.1028","ISSN":"1011-8934","PMID":"17179681","abstract":"Tuberculosis (TB) may produce abnormalities in the peripheral blood, including anemia. However, the evolution of TB-associated anemia with short-term combination anti-TB chemotherapy has not been well elucidated. The aim of this study was to characterize TB-associated anemia by clarifying its prevalence, characteristics, and evolution, through involving large numbers of patients with TB. The medical records of adult patients with TB diagnosed between June 2000 and May 2001 were reviewed. Among 880 patients with TB, 281 (31.9%) had anemia on diagnosis of TB, however, the hemoglobin concentration was less than 10 g/dL in only 45 patients (5.0%). Anemia was more frequently associated with the female and old age. Good treatment response, young age (&lt; or =65 yr-old) and initial high hemoglobin were the predictive factor for resolution of anemia. In 202 patients with anemia (71.9%), anemia was normocytic and normochromic. During or after anti-TB treatment, anemia was resolved in 175 (64.6%) out of 271 patients without iron intake. The mean duration of resolution from the initiation of anti-TB treatment was 118.8+/-113.2 days. In conclusion, anemia is a common hematological abnormality in patients with TB and close observation is sufficient for patients with TB-associated anemia, because TB-associated anemia is usually mild and resolves with anti-TB treatment.","author":[{"dropping-particle":"","family":"Lee","given":"Sei Won","non-dropping-particle":"","parse-names":false,"suffix":""},{"dropping-particle":"","family":"Kang","given":"Young Ae","non-dropping-particle":"","parse-names":false,"suffix":""},{"dropping-particle":"","family":"Yoon","given":"Young Soon","non-dropping-particle":"","parse-names":false,"suffix":""},{"dropping-particle":"","family":"Um","given":"Sang-Won","non-dropping-particle":"","parse-names":false,"suffix":""},{"dropping-particle":"","family":"Lee","given":"Sang Min","non-dropping-particle":"","parse-names":false,"suffix":""},{"dropping-particle":"","family":"Yoo","given":"Chul-Gyu","non-dropping-particle":"","parse-names":false,"suffix":""},{"dropping-particle":"","family":"Kim","given":"Young Whan","non-dropping-particle":"","parse-names":false,"suffix":""},{"dropping-particle":"","family":"Han","given":"Sung Koo","non-dropping-particle":"","parse-names":false,"suffix":""},{"dropping-particle":"","family":"Shim","given":"Young-Soo","non-dropping-particle":"","parse-names":false,"suffix":""},{"dropping-particle":"","family":"Yim","given":"Jae-Joon","non-dropping-particle":"","parse-names":false,"suffix":""}],"container-title":"Journal of Korean medical science","id":"ITEM-2","issue":"6","issued":{"date-parts":[["2006"]]},"page":"1028-32","title":"The prevalence and evolution of anemia associated with tuberculosis.","type":"article-journal","volume":"21"},"uris":["http://www.mendeley.com/documents/?uuid=4733bb5e-88ca-326f-9ea3-92582618a30c"]}],"mendeley":{"formattedCitation":"[15,16]","plainTextFormattedCitation":"[15,16]","previouslyFormattedCitation":"[15,16]"},"properties":{"noteIndex":0},"schema":"https://github.com/citation-style-language/schema/raw/master/csl-citation.json"}</w:instrText>
      </w:r>
      <w:r w:rsidR="00F2206C" w:rsidRPr="00014EF4">
        <w:rPr>
          <w:rFonts w:ascii="Times New Roman" w:hAnsi="Times New Roman" w:cs="Times New Roman"/>
        </w:rPr>
        <w:fldChar w:fldCharType="separate"/>
      </w:r>
      <w:r w:rsidR="00180CEA" w:rsidRPr="00180CEA">
        <w:rPr>
          <w:rFonts w:ascii="Times New Roman" w:hAnsi="Times New Roman" w:cs="Times New Roman"/>
          <w:noProof/>
        </w:rPr>
        <w:t>[15,16]</w:t>
      </w:r>
      <w:r w:rsidR="00F2206C" w:rsidRPr="00014EF4">
        <w:rPr>
          <w:rFonts w:ascii="Times New Roman" w:hAnsi="Times New Roman" w:cs="Times New Roman"/>
        </w:rPr>
        <w:fldChar w:fldCharType="end"/>
      </w:r>
      <w:r w:rsidR="002B7343" w:rsidRPr="00014EF4">
        <w:rPr>
          <w:rFonts w:ascii="Times New Roman" w:hAnsi="Times New Roman" w:cs="Times New Roman"/>
        </w:rPr>
        <w:t>.</w:t>
      </w:r>
      <w:r w:rsidR="00F2206C" w:rsidRPr="00014EF4">
        <w:rPr>
          <w:rFonts w:ascii="Times New Roman" w:hAnsi="Times New Roman" w:cs="Times New Roman"/>
        </w:rPr>
        <w:t xml:space="preserve"> </w:t>
      </w:r>
      <w:r w:rsidRPr="00014EF4">
        <w:rPr>
          <w:rFonts w:ascii="Times New Roman" w:hAnsi="Times New Roman" w:cs="Times New Roman"/>
        </w:rPr>
        <w:t>To account for this, in-house modeling was performed with independent longitudinal hemoglobin</w:t>
      </w:r>
      <w:r w:rsidR="000B5A0C" w:rsidRPr="00014EF4">
        <w:rPr>
          <w:rFonts w:ascii="Times New Roman" w:hAnsi="Times New Roman" w:cs="Times New Roman"/>
        </w:rPr>
        <w:t xml:space="preserve"> level</w:t>
      </w:r>
      <w:r w:rsidRPr="00014EF4">
        <w:rPr>
          <w:rFonts w:ascii="Times New Roman" w:hAnsi="Times New Roman" w:cs="Times New Roman"/>
        </w:rPr>
        <w:t xml:space="preserve"> data from drug sensitive </w:t>
      </w:r>
      <w:r w:rsidR="000B5A0C" w:rsidRPr="00014EF4">
        <w:rPr>
          <w:rFonts w:ascii="Times New Roman" w:hAnsi="Times New Roman" w:cs="Times New Roman"/>
        </w:rPr>
        <w:t xml:space="preserve">TB </w:t>
      </w:r>
      <w:r w:rsidRPr="00014EF4">
        <w:rPr>
          <w:rFonts w:ascii="Times New Roman" w:hAnsi="Times New Roman" w:cs="Times New Roman"/>
        </w:rPr>
        <w:t>patients in the OFLOTUB (NCT00216385)</w:t>
      </w:r>
      <w:r w:rsidR="004E0575"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{"citationItems":[{"id":"ITEM-1","itemData":{"DOI":"10.1056/NEJMoa1315817","author":[{"dropping-particle":"","family":"Merle","given":"Corinne S","non-dropping-particle":"","parse-names":false,"suffix":""},{"dropping-particle":"","family":"Fielding","given":"Katherine","non-dropping-particle":"","parse-names":false,"suffix":""},{"dropping-particle":"","family":"Sow","given":"Omou Bah","non-dropping-particle":"","parse-names":false,"suffix":""},{"dropping-particle":"","family":"Gninafon","given":"Martin","non-dropping-particle":"","parse-names":false,"suffix":""},{"dropping-particle":"","family":"Lo","given":"Mame B","non-dropping-particle":"","parse-names":false,"suffix":""},{"dropping-particle":"","family":"Mthiyane","given":"Thuli","non-dropping-particle":"","parse-names":false,"suffix":""},{"dropping-particle":"","family":"Odhiambo","given":"Joseph","non-dropping-particle":"","parse-names":false,"suffix":""},{"dropping-particle":"","family":"Amukoye","given":"Evans","non-dropping-particle":"","parse-names":false,"suffix":""},{"dropping-particle":"","family":"Bah","given":"Boubacar","non-dropping-particle":"","parse-names":false,"suffix":""},{"dropping-particle":"","family":"Kassa","given":"Ferdinand","non-dropping-particle":"","parse-names":false,"suffix":""},{"dropping-particle":"","family":"Diaye","given":"Alimatou N '","non-dropping-particle":"","parse-names":false,"suffix":""},{"dropping-particle":"","family":"Rustomjee","given":"Roxana","non-dropping-particle":"","parse-names":false,"suffix":""},{"dropping-particle":"","family":"Jong","given":"Bouke C","non-dropping-particle":"De","parse-names":false,"suffix":""},{"dropping-particle":"","family":"Horton","given":"John","non-dropping-particle":"","parse-names":false,"suffix":""},{"dropping-particle":"","family":"Perronne","given":"Christian","non-dropping-particle":"","parse-names":false,"suffix":""},{"dropping-particle":"","family":"Sismanidis","given":"Charalambos","non-dropping-particle":"","parse-names":false,"suffix":""},{"dropping-particle":"","family":"Lapujade","given":"Olivier","non-dropping-particle":"","parse-names":false,"suffix":""},{"dropping-particle":"","family":"Olliaro","given":"Piero L","non-dropping-particle":"","parse-names":false,"suffix":""},{"dropping-particle":"","family":"Lienhardt","given":"Christian","non-dropping-particle":"","parse-names":false,"suffix":""}],"container-title":"N. Engl. J. Med","id":"ITEM-1","issue":"23","issued":{"date-parts":[["2014"]]},"page":"1588-1598","title":"A Four-Month Gatifloxacin-Containing Regimen for Treating Tuberculosis","type":"article-journal","volume":"371"},"uris":["http://www.mendeley.com/documents/?uuid=421f0d47-b349-3913-8b4a-d782d624da4e"]}],"mendeley":{"formattedCitation":"[17]","plainTextFormattedCitation":"[17]","previouslyFormattedCitation":"[17]"},"properties":{"noteIndex":0},"schema":"https://github.com/citation-style-language/schema/raw/master/csl-citation.json"}</w:instrText>
      </w:r>
      <w:r w:rsidR="004E0575" w:rsidRPr="00014EF4">
        <w:rPr>
          <w:rFonts w:ascii="Times New Roman" w:hAnsi="Times New Roman" w:cs="Times New Roman"/>
        </w:rPr>
        <w:fldChar w:fldCharType="separate"/>
      </w:r>
      <w:r w:rsidR="00180CEA" w:rsidRPr="00180CEA">
        <w:rPr>
          <w:rFonts w:ascii="Times New Roman" w:hAnsi="Times New Roman" w:cs="Times New Roman"/>
          <w:noProof/>
        </w:rPr>
        <w:t>[17]</w:t>
      </w:r>
      <w:r w:rsidR="004E0575" w:rsidRPr="00014EF4">
        <w:rPr>
          <w:rFonts w:ascii="Times New Roman" w:hAnsi="Times New Roman" w:cs="Times New Roman"/>
        </w:rPr>
        <w:fldChar w:fldCharType="end"/>
      </w:r>
      <w:r w:rsidRPr="00014EF4">
        <w:rPr>
          <w:rFonts w:ascii="Times New Roman" w:hAnsi="Times New Roman" w:cs="Times New Roman"/>
        </w:rPr>
        <w:t>, REMox (NCT00864383)</w:t>
      </w:r>
      <w:r w:rsidR="004E0575"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{"citationItems":[{"id":"ITEM-1","itemData":{"DOI":"10.1056/NEJMoa1407426","ISSN":"0028-4793","PMID":"25196020","author":[{"dropping-particle":"","family":"Gillespie","given":"Stephen H.","non-dropping-particle":"","parse-names":false,"suffix":""},{"dropping-particle":"","family":"Crook","given":"Angela M.","non-dropping-particle":"","parse-names":false,"suffix":""},{"dropping-particle":"","family":"McHugh","given":"Timothy D.","non-dropping-particle":"","parse-names":false,"suffix":""},{"dropping-particle":"","family":"Mendel","given":"Carl M.","non-dropping-particle":"","parse-names":false,"suffix":""},{"dropping-particle":"","family":"Meredith","given":"Sarah K.","non-dropping-particle":"","parse-names":false,"suffix":""},{"dropping-particle":"","family":"Murray","given":"Stephen R.","non-dropping-particle":"","parse-names":false,"suffix":""},{"dropping-particle":"","family":"Pappas","given":"Frances","non-dropping-particle":"","parse-names":false,"suffix":""},{"dropping-particle":"","family":"Phillips","given":"Patrick P.J.","non-dropping-particle":"","parse-names":false,"suffix":""},{"dropping-particle":"","family":"Nunn","given":"Andrew J.","non-dropping-particle":"","parse-names":false,"suffix":""}],"container-title":"New England Journal of Medicine","id":"ITEM-1","issue":"17","issued":{"date-parts":[["2014"]]},"note":"protocol","page":"1577-1587","title":"Four-Month Moxifloxacin-Based Regimens for Drug-Sensitive Tuberculosis","type":"article-journal","volume":"371"},"uris":["http://www.mendeley.com/documents/?uuid=17bfccc4-ae6c-4d94-8f68-f851bb5d6b42"]}],"mendeley":{"formattedCitation":"[18]","plainTextFormattedCitation":"[18]","previouslyFormattedCitation":"[18]"},"properties":{"noteIndex":0},"schema":"https://github.com/citation-style-language/schema/raw/master/csl-citation.json"}</w:instrText>
      </w:r>
      <w:r w:rsidR="004E0575" w:rsidRPr="00014EF4">
        <w:rPr>
          <w:rFonts w:ascii="Times New Roman" w:hAnsi="Times New Roman" w:cs="Times New Roman"/>
        </w:rPr>
        <w:fldChar w:fldCharType="separate"/>
      </w:r>
      <w:r w:rsidR="00180CEA" w:rsidRPr="00180CEA">
        <w:rPr>
          <w:rFonts w:ascii="Times New Roman" w:hAnsi="Times New Roman" w:cs="Times New Roman"/>
          <w:noProof/>
        </w:rPr>
        <w:t>[18]</w:t>
      </w:r>
      <w:r w:rsidR="004E0575" w:rsidRPr="00014EF4">
        <w:rPr>
          <w:rFonts w:ascii="Times New Roman" w:hAnsi="Times New Roman" w:cs="Times New Roman"/>
        </w:rPr>
        <w:fldChar w:fldCharType="end"/>
      </w:r>
      <w:r w:rsidRPr="00014EF4">
        <w:rPr>
          <w:rFonts w:ascii="Times New Roman" w:hAnsi="Times New Roman" w:cs="Times New Roman"/>
        </w:rPr>
        <w:t>, and RIFAQUIN (</w:t>
      </w:r>
      <w:r w:rsidR="000B5A0C" w:rsidRPr="00014EF4">
        <w:rPr>
          <w:rFonts w:ascii="Times New Roman" w:hAnsi="Times New Roman" w:cs="Times New Roman"/>
        </w:rPr>
        <w:t>ISRCTN</w:t>
      </w:r>
      <w:r w:rsidRPr="00014EF4">
        <w:rPr>
          <w:rFonts w:ascii="Times New Roman" w:hAnsi="Times New Roman" w:cs="Times New Roman"/>
        </w:rPr>
        <w:t>44153044)</w:t>
      </w:r>
      <w:r w:rsidR="004E0575"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10.1056/NEJMoa1314210","ISBN":"1533-4406","ISSN":"0028-4793","PMID":"25337749","author":[{"dropping-particle":"","family":"Jindani","given":"Amina","non-dropping-particle":"","parse-names":false,"suffix":""},{"dropping-particle":"","family":"Harrison","given":"Thomas S","non-dropping-particle":"","parse-names":false,"suffix":""},{"dropping-particle":"","family":"Nunn","given":"Andrew J","non-dropping-particle":"","parse-names":false,"suffix":""},{"dropping-particle":"","family":"Phillips","given":"Patrick P J","non-dropping-particle":"","parse-names":false,"suffix":""},{"dropping-particle":"","family":"Churchyard","given":"Gavin J","non-dropping-particle":"","parse-names":false,"suffix":""},{"dropping-particle":"","family":"Charalambous","given":"Salome","non-dropping-particle":"","parse-names":false,"suffix":""},{"dropping-particle":"","family":"Hatherill","given":"Mark","non-dropping-particle":"","parse-names":false,"suffix":""},{"dropping-particle":"","family":"Geldenhuys","given":"Hennie","non-dropping-particle":"","parse-names":false,"suffix":""},{"dropping-particle":"","family":"Mcilleron","given":"Helen M","non-dropping-particle":"","parse-names":false,"suffix":""},{"dropping-particle":"","family":"Zvada","given":"Simbarashe P","non-dropping-particle":"","parse-names":false,"suffix":""},{"dropping-particle":"","family":"Mungofa","given":"Stanley","non-dropping-particle":"","parse-names":false,"suffix":""},{"dropping-particle":"","family":"Shah","given":"Nasir A","non-dropping-particle":"","parse-names":false,"suffix":""},{"dropping-particle":"","family":"Zizhou","given":"Simukai","non-dropping-particle":"","parse-names":false,"suffix":""},{"dropping-particle":"","family":"Magweta","given":"Lloyd","non-dropping-particle":"","parse-names":false,"suffix":""},{"dropping-particle":"","family":"Shepherd","given":"James","non-dropping-particle":"","parse-names":false,"suffix":""},{"dropping-particle":"","family":"Nyirenda","given":"Sambayawo","non-dropping-particle":"","parse-names":false,"suffix":""},{"dropping-particle":"","family":"Dijk","given":"Janneke H","non-dropping-particle":"van","parse-names":false,"suffix":""},{"dropping-particle":"","family":"Clouting","given":"Heather E","non-dropping-particle":"","parse-names":false,"suffix":""},{"dropping-particle":"","family":"Coleman","given":"David","non-dropping-particle":"","parse-names":false,"suffix":""},{"dropping-particle":"","family":"Bateson","given":"Anna L E","non-dropping-particle":"","parse-names":false,"suffix":""},{"dropping-particle":"","family":"McHugh","given":"Timothy D","non-dropping-particle":"","parse-names":false,"suffix":""},{"dropping-particle":"","family":"Butcher","given":"Philip D","non-dropping-particle":"","parse-names":false,"suffix":""},{"dropping-particle":"","family":"Mitchison","given":"Denny A","non-dropping-particle":"","parse-names":false,"suffix":""},{"dropping-particle":"","family":"Ph","given":"D","non-dropping-particle":"","parse-names":false,"suffix":""},{"dropping-particle":"","family":"Churchyard","given":"Gavin J","non-dropping-particle":"","parse-names":false,"suffix":""},{"dropping-particle":"","family":"Ph","given":"D","non-dropping-particle":"","parse-names":false,"suffix":""},{"dropping-particle":"","family":"Charalambous","given":"Salome","non-dropping-particle":"","parse-names":false,"suffix":""},{"dropping-particle":"","family":"Ph","given":"D","non-dropping-particle":"","parse-names":false,"suffix":""},{"dropping-particle":"","family":"Hatherill","given":"Mark","non-dropping-particle":"","parse-names":false,"suffix":""},{"dropping-particle":"","family":"Geldenhuys","given":"Hennie","non-dropping-particle":"","parse-names":false,"suffix":""},{"dropping-particle":"","family":"Ch","given":"B","non-dropping-particle":"","parse-names":false,"suffix":""},{"dropping-particle":"","family":"Mcilleron","given":"Helen M","non-dropping-particle":"","parse-names":false,"suffix":""},{"dropping-particle":"","family":"Ph","given":"D","non-dropping-particle":"","parse-names":false,"suffix":""},{"dropping-particle":"","family":"Zizhou","given":"Simukai","non-dropping-particle":"","parse-names":false,"suffix":""},{"dropping-particle":"","family":"Ch","given":"B","non-dropping-particle":"","parse-names":false,"suffix":""},{"dropping-particle":"","family":"Magweta","given":"Lloyd","non-dropping-particle":"","parse-names":false,"suffix":""},{"dropping-particle":"","family":"Ch","given":"B","non-dropping-particle":"","parse-names":false,"suffix":""},{"dropping-particle":"","family":"Shepherd","given":"James","non-dropping-particle":"","parse-names":false,"suffix":""},{"dropping-particle":"","family":"Ph","given":"D","non-dropping-particle":"","parse-names":false,"suffix":""},{"dropping-particle":"","family":"Butcher","given":"Philip D","non-dropping-particle":"","parse-names":false,"suffix":""},{"dropping-particle":"","family":"Ph","given":"D","non-dropping-particle":"","parse-names":false,"suffix":""},{"dropping-particle":"","family":"Mitchison","given":"Denny A","non-dropping-particle":"","parse-names":false,"suffix":""}],"container-title":"New England Journal of Medicine","id":"ITEM-1","issue":"17","issued":{"date-parts":[["2014"]]},"note":"supplementary","page":"1599-1608","title":"High-Dose Rifapentine with Moxifloxacin for Pulmonary Tuberculosis","type":"article-journal","volume":"371"},"uris":["http://www.mendeley.com/documents/?uuid=6e460265-06c7-4572-b217-3783f8a42ff5"]}],"mendeley":{"formattedCitation":"[19]","plainTextFormattedCitation":"[19]","previouslyFormattedCitation":"[19]"},"properties":{"noteIndex":0},"schema":"https://github.com/citation-style-language/schema/raw/master/csl-citation.json"}</w:instrText>
      </w:r>
      <w:r w:rsidR="004E0575" w:rsidRPr="00014EF4">
        <w:rPr>
          <w:rFonts w:ascii="Times New Roman" w:hAnsi="Times New Roman" w:cs="Times New Roman"/>
        </w:rPr>
        <w:fldChar w:fldCharType="separate"/>
      </w:r>
      <w:r w:rsidR="00180CEA" w:rsidRPr="00180CEA">
        <w:rPr>
          <w:rFonts w:ascii="Times New Roman" w:hAnsi="Times New Roman" w:cs="Times New Roman"/>
          <w:noProof/>
        </w:rPr>
        <w:t>[19]</w:t>
      </w:r>
      <w:r w:rsidR="004E0575" w:rsidRPr="00014EF4">
        <w:rPr>
          <w:rFonts w:ascii="Times New Roman" w:hAnsi="Times New Roman" w:cs="Times New Roman"/>
        </w:rPr>
        <w:fldChar w:fldCharType="end"/>
      </w:r>
      <w:r w:rsidRPr="00014EF4">
        <w:rPr>
          <w:rFonts w:ascii="Times New Roman" w:hAnsi="Times New Roman" w:cs="Times New Roman"/>
        </w:rPr>
        <w:t xml:space="preserve"> trials treated in the absence of linezolid (data not shown). Empirical models (linear, exponential, logistic growth models) were tested to fit the independent dataset. The best fit model from the independent dataset was added to the indirect PKPD model </w:t>
      </w:r>
      <w:r w:rsidR="004E0575" w:rsidRPr="00014EF4">
        <w:rPr>
          <w:rFonts w:ascii="Times New Roman" w:hAnsi="Times New Roman" w:cs="Times New Roman"/>
        </w:rPr>
        <w:t>for</w:t>
      </w:r>
      <w:r w:rsidRPr="00014EF4">
        <w:rPr>
          <w:rFonts w:ascii="Times New Roman" w:hAnsi="Times New Roman" w:cs="Times New Roman"/>
        </w:rPr>
        <w:t xml:space="preserve"> the Nix-TB data </w:t>
      </w:r>
      <w:r w:rsidR="004E0575" w:rsidRPr="00014EF4">
        <w:rPr>
          <w:rFonts w:ascii="Times New Roman" w:hAnsi="Times New Roman" w:cs="Times New Roman"/>
        </w:rPr>
        <w:t xml:space="preserve">as an additional synthesis rate of response </w:t>
      </w:r>
      <w:r w:rsidRPr="00014EF4">
        <w:rPr>
          <w:rFonts w:ascii="Times New Roman" w:hAnsi="Times New Roman" w:cs="Times New Roman"/>
        </w:rPr>
        <w:t xml:space="preserve">with fixed parameters during the model building stages. At the final stages of modelling, all parameters were unfixed and estimated for the Nix-TB cohort. </w:t>
      </w:r>
    </w:p>
    <w:p w14:paraId="11ACF7F4" w14:textId="77777777" w:rsidR="007A4270" w:rsidRPr="00014EF4" w:rsidRDefault="007A4270" w:rsidP="00386B99">
      <w:pPr>
        <w:rPr>
          <w:rFonts w:ascii="Times New Roman" w:hAnsi="Times New Roman" w:cs="Times New Roman"/>
        </w:rPr>
      </w:pPr>
    </w:p>
    <w:p w14:paraId="00D155D8" w14:textId="6356BD67"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Visual predictive checks and bootstrap results were used for model evaluation of PK-toxicodynamic models. Model building used a population nonlinear mixed effects modeling approach with the software NONMEM 7.4.1 (ICON Development Solutions, Ellicott City, Maryland). </w:t>
      </w:r>
    </w:p>
    <w:p w14:paraId="34627E77" w14:textId="77777777" w:rsidR="007A4270" w:rsidRPr="00014EF4" w:rsidRDefault="007A4270" w:rsidP="00386B99">
      <w:pPr>
        <w:rPr>
          <w:rFonts w:ascii="Times New Roman" w:hAnsi="Times New Roman" w:cs="Times New Roman"/>
          <w:b/>
        </w:rPr>
      </w:pPr>
    </w:p>
    <w:p w14:paraId="79D6F6B0" w14:textId="064C338E" w:rsidR="00A67BF3" w:rsidRPr="006941F2" w:rsidRDefault="00A67BF3" w:rsidP="006941F2">
      <w:pPr>
        <w:pStyle w:val="Heading2"/>
        <w:rPr>
          <w:rFonts w:ascii="Times New Roman" w:hAnsi="Times New Roman" w:cs="Times New Roman"/>
          <w:b/>
          <w:color w:val="auto"/>
          <w:sz w:val="24"/>
          <w:szCs w:val="24"/>
        </w:rPr>
      </w:pPr>
      <w:r w:rsidRPr="006941F2">
        <w:rPr>
          <w:rFonts w:ascii="Times New Roman" w:hAnsi="Times New Roman" w:cs="Times New Roman"/>
          <w:b/>
          <w:color w:val="auto"/>
          <w:sz w:val="24"/>
          <w:szCs w:val="24"/>
        </w:rPr>
        <w:t xml:space="preserve">Model-based simulations </w:t>
      </w:r>
    </w:p>
    <w:p w14:paraId="46C2B91F" w14:textId="0C659092" w:rsidR="00A67BF3" w:rsidRPr="00014EF4" w:rsidRDefault="00A67BF3" w:rsidP="00386B99">
      <w:pPr>
        <w:rPr>
          <w:rFonts w:ascii="Times New Roman" w:hAnsi="Times New Roman" w:cs="Times New Roman"/>
        </w:rPr>
      </w:pPr>
      <w:r w:rsidRPr="00014EF4">
        <w:rPr>
          <w:rFonts w:ascii="Times New Roman" w:hAnsi="Times New Roman" w:cs="Times New Roman"/>
        </w:rPr>
        <w:t>The final PK-</w:t>
      </w:r>
      <w:r w:rsidR="000B5A0C" w:rsidRPr="00014EF4">
        <w:rPr>
          <w:rFonts w:ascii="Times New Roman" w:hAnsi="Times New Roman" w:cs="Times New Roman"/>
        </w:rPr>
        <w:t xml:space="preserve">toxicodynamic </w:t>
      </w:r>
      <w:r w:rsidRPr="00014EF4">
        <w:rPr>
          <w:rFonts w:ascii="Times New Roman" w:hAnsi="Times New Roman" w:cs="Times New Roman"/>
        </w:rPr>
        <w:t>models were used to perform 1000 Monte Carlo simulations of 500 patients for 6 months after treatment initiation for hematological toxicities and 24 months after treatment initiation for peripheral neuropathy (6 months of treatment and 18 months of recovery) for various linezolid dosage regimens using NONMEM and the PKPDsim library (v1.0.1) in the R software (v3.4.1). Simulations assessed steady-state PK parameters (area under the concentration-time curve over 24 hours, AUC, maximum concentrations, C</w:t>
      </w:r>
      <w:r w:rsidRPr="00014EF4">
        <w:rPr>
          <w:rFonts w:ascii="Times New Roman" w:hAnsi="Times New Roman" w:cs="Times New Roman"/>
          <w:vertAlign w:val="subscript"/>
        </w:rPr>
        <w:t>max</w:t>
      </w:r>
      <w:r w:rsidRPr="00014EF4">
        <w:rPr>
          <w:rFonts w:ascii="Times New Roman" w:hAnsi="Times New Roman" w:cs="Times New Roman"/>
        </w:rPr>
        <w:t>, and minimum concentrations, C</w:t>
      </w:r>
      <w:r w:rsidRPr="00014EF4">
        <w:rPr>
          <w:rFonts w:ascii="Times New Roman" w:hAnsi="Times New Roman" w:cs="Times New Roman"/>
          <w:vertAlign w:val="subscript"/>
        </w:rPr>
        <w:t>min</w:t>
      </w:r>
      <w:r w:rsidR="0068175D">
        <w:rPr>
          <w:rFonts w:ascii="Times New Roman" w:hAnsi="Times New Roman" w:cs="Times New Roman"/>
        </w:rPr>
        <w:t>;</w:t>
      </w:r>
      <w:r w:rsidR="001C6B6D" w:rsidRPr="001C6B6D">
        <w:rPr>
          <w:color w:val="201F1E"/>
        </w:rPr>
        <w:t xml:space="preserve"> </w:t>
      </w:r>
      <w:r w:rsidR="001C6B6D">
        <w:rPr>
          <w:rFonts w:ascii="Times New Roman" w:hAnsi="Times New Roman" w:cs="Times New Roman"/>
        </w:rPr>
        <w:t>parameters evaluated 2 weeks after treatment initiation or dose adjustment</w:t>
      </w:r>
      <w:r w:rsidR="0068175D">
        <w:rPr>
          <w:rFonts w:ascii="Times New Roman" w:hAnsi="Times New Roman" w:cs="Times New Roman"/>
        </w:rPr>
        <w:t xml:space="preserve">), </w:t>
      </w:r>
      <w:r w:rsidR="008100C1" w:rsidRPr="00014EF4">
        <w:rPr>
          <w:rFonts w:ascii="Times New Roman" w:hAnsi="Times New Roman" w:cs="Times New Roman"/>
        </w:rPr>
        <w:t>percent</w:t>
      </w:r>
      <w:r w:rsidR="00005BA2" w:rsidRPr="00014EF4">
        <w:rPr>
          <w:rFonts w:ascii="Times New Roman" w:hAnsi="Times New Roman" w:cs="Times New Roman"/>
        </w:rPr>
        <w:t>age</w:t>
      </w:r>
      <w:r w:rsidRPr="00014EF4">
        <w:rPr>
          <w:rFonts w:ascii="Times New Roman" w:hAnsi="Times New Roman" w:cs="Times New Roman"/>
        </w:rPr>
        <w:t xml:space="preserve"> of ≥ grade 3 hematologic toxicities according to the Division of Microbiology and Infectious Disease (DMID) Adult Toxicity table (severe anemia, hemoglobin level &lt; 8 g/dL; severe thrombocytopenia, platelet count &lt; 50 ×10</w:t>
      </w:r>
      <w:r w:rsidRPr="0061704A">
        <w:rPr>
          <w:rFonts w:ascii="Times New Roman" w:hAnsi="Times New Roman" w:cs="Times New Roman"/>
          <w:vertAlign w:val="superscript"/>
        </w:rPr>
        <w:t>9</w:t>
      </w:r>
      <w:r w:rsidRPr="00014EF4">
        <w:rPr>
          <w:rFonts w:ascii="Times New Roman" w:hAnsi="Times New Roman" w:cs="Times New Roman"/>
        </w:rPr>
        <w:t>/L)</w:t>
      </w:r>
      <w:r w:rsidR="004E0575"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{"citationItems":[{"id":"ITEM-1","itemData":{"abstract":"Note: The following toxicity table is a DRAFT and designed to provide general guidance on parameters for monitoring safety in clinical trials. This toxicity table is not comprehensive and should not be applied directly to all trials. When selecting a toxicity table, the following are some of the items that must be taken into consideration: • The population being studied o Does the clinical trial evaluate healt hy subjects, subjects with a particular disease or condition? • The stage of test article development o Is the clinical trial a Phase I, II, III or IV? • The type of test article o Does the clinical trial evaluate a drug, device, vaccine or other biologic agent? • The prior human and preclinical experience with the test article o Are there any specific findings that require adjustment of the toxicity table? Single site clinical trials evaluating healthy subjects should conform to the laboratory normal values at the single site. Multi-center clinical trials should reconcile among their laborat ory normal values when evaluating a healthy volunteer population. Please confer with the DMID protocol team and DMID's Office of Clinical Research A ffairs when selecting or developing a toxicity table for a DMID-sponsored trial.","id":"ITEM-1","issued":{"date-parts":[["0"]]},"title":"NIAID DIVISION OF MICROBIOLOGY AND INFECTIOUS DISEASES (DMID) ADULT TOXICITY TABLE NOVEMBER 2007 DRAFT","type":"report"},"uris":["http://www.mendeley.com/documents/?uuid=38928508-186a-3094-b08b-59a73adecdb9"]}],"mendeley":{"formattedCitation":"[20]","plainTextFormattedCitation":"[20]","previouslyFormattedCitation":"[20]"},"properties":{"noteIndex":0},"schema":"https://github.com/citation-style-language/schema/raw/master/csl-citation.json"}</w:instrText>
      </w:r>
      <w:r w:rsidR="004E0575" w:rsidRPr="00014EF4">
        <w:rPr>
          <w:rFonts w:ascii="Times New Roman" w:hAnsi="Times New Roman" w:cs="Times New Roman"/>
        </w:rPr>
        <w:fldChar w:fldCharType="separate"/>
      </w:r>
      <w:r w:rsidR="00180CEA" w:rsidRPr="00180CEA">
        <w:rPr>
          <w:rFonts w:ascii="Times New Roman" w:hAnsi="Times New Roman" w:cs="Times New Roman"/>
          <w:noProof/>
        </w:rPr>
        <w:t>[20]</w:t>
      </w:r>
      <w:r w:rsidR="004E0575" w:rsidRPr="00014EF4">
        <w:rPr>
          <w:rFonts w:ascii="Times New Roman" w:hAnsi="Times New Roman" w:cs="Times New Roman"/>
        </w:rPr>
        <w:fldChar w:fldCharType="end"/>
      </w:r>
      <w:r w:rsidRPr="00014EF4">
        <w:rPr>
          <w:rFonts w:ascii="Times New Roman" w:hAnsi="Times New Roman" w:cs="Times New Roman"/>
        </w:rPr>
        <w:t xml:space="preserve">; </w:t>
      </w:r>
      <w:r w:rsidR="00245CF9" w:rsidRPr="00014EF4">
        <w:rPr>
          <w:rFonts w:ascii="Times New Roman" w:hAnsi="Times New Roman" w:cs="Times New Roman"/>
        </w:rPr>
        <w:t>percentages</w:t>
      </w:r>
      <w:r w:rsidRPr="00014EF4">
        <w:rPr>
          <w:rFonts w:ascii="Times New Roman" w:hAnsi="Times New Roman" w:cs="Times New Roman"/>
        </w:rPr>
        <w:t xml:space="preserve"> of peripheral neuropathy scores (normal, minimum, modest, and severe scores, as defined above); management and reversibility of toxicities; and attainment of efficacy targets. Normal hemoglobin level (≥ 10.6 g/dL) and platelet count (≥ 100 ×10</w:t>
      </w:r>
      <w:r w:rsidRPr="0061704A">
        <w:rPr>
          <w:rFonts w:ascii="Times New Roman" w:hAnsi="Times New Roman" w:cs="Times New Roman"/>
          <w:vertAlign w:val="superscript"/>
        </w:rPr>
        <w:t>9</w:t>
      </w:r>
      <w:r w:rsidRPr="00014EF4">
        <w:rPr>
          <w:rFonts w:ascii="Times New Roman" w:hAnsi="Times New Roman" w:cs="Times New Roman"/>
        </w:rPr>
        <w:t xml:space="preserve">/L ) were based on </w:t>
      </w:r>
      <w:r w:rsidR="000B5A0C" w:rsidRPr="00014EF4">
        <w:rPr>
          <w:rFonts w:ascii="Times New Roman" w:hAnsi="Times New Roman" w:cs="Times New Roman"/>
        </w:rPr>
        <w:t xml:space="preserve">the </w:t>
      </w:r>
      <w:r w:rsidRPr="00014EF4">
        <w:rPr>
          <w:rFonts w:ascii="Times New Roman" w:hAnsi="Times New Roman" w:cs="Times New Roman"/>
        </w:rPr>
        <w:t>DMID table</w:t>
      </w:r>
      <w:r w:rsidR="002B7343" w:rsidRPr="00014EF4">
        <w:rPr>
          <w:rFonts w:ascii="Times New Roman" w:hAnsi="Times New Roman" w:cs="Times New Roman"/>
        </w:rPr>
        <w:t xml:space="preserve"> </w:t>
      </w:r>
      <w:r w:rsidR="004E0575"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{"citationItems":[{"id":"ITEM-1","itemData":{"abstract":"Note: The following toxicity table is a DRAFT and designed to provide general guidance on parameters for monitoring safety in clinical trials. This toxicity table is not comprehensive and should not be applied directly to all trials. When selecting a toxicity table, the following are some of the items that must be taken into consideration: • The population being studied o Does the clinical trial evaluate healt hy subjects, subjects with a particular disease or condition? • The stage of test article development o Is the clinical trial a Phase I, II, III or IV? • The type of test article o Does the clinical trial evaluate a drug, device, vaccine or other biologic agent? • The prior human and preclinical experience with the test article o Are there any specific findings that require adjustment of the toxicity table? Single site clinical trials evaluating healthy subjects should conform to the laboratory normal values at the single site. Multi-center clinical trials should reconcile among their laborat ory normal values when evaluating a healthy volunteer population. Please confer with the DMID protocol team and DMID's Office of Clinical Research A ffairs when selecting or developing a toxicity table for a DMID-sponsored trial.","id":"ITEM-1","issued":{"date-parts":[["0"]]},"title":"NIAID DIVISION OF MICROBIOLOGY AND INFECTIOUS DISEASES (DMID) ADULT TOXICITY TABLE NOVEMBER 2007 DRAFT","type":"report"},"uris":["http://www.mendeley.com/documents/?uuid=38928508-186a-3094-b08b-59a73adecdb9"]}],"mendeley":{"formattedCitation":"[20]","plainTextFormattedCitation":"[20]","previouslyFormattedCitation":"[20]"},"properties":{"noteIndex":0},"schema":"https://github.com/citation-style-language/schema/raw/master/csl-citation.json"}</w:instrText>
      </w:r>
      <w:r w:rsidR="004E0575" w:rsidRPr="00014EF4">
        <w:rPr>
          <w:rFonts w:ascii="Times New Roman" w:hAnsi="Times New Roman" w:cs="Times New Roman"/>
        </w:rPr>
        <w:fldChar w:fldCharType="separate"/>
      </w:r>
      <w:r w:rsidR="00180CEA" w:rsidRPr="00180CEA">
        <w:rPr>
          <w:rFonts w:ascii="Times New Roman" w:hAnsi="Times New Roman" w:cs="Times New Roman"/>
          <w:noProof/>
        </w:rPr>
        <w:t>[20]</w:t>
      </w:r>
      <w:r w:rsidR="004E0575" w:rsidRPr="00014EF4">
        <w:rPr>
          <w:rFonts w:ascii="Times New Roman" w:hAnsi="Times New Roman" w:cs="Times New Roman"/>
        </w:rPr>
        <w:fldChar w:fldCharType="end"/>
      </w:r>
      <w:r w:rsidR="002B7343" w:rsidRPr="00014EF4">
        <w:rPr>
          <w:rFonts w:ascii="Times New Roman" w:hAnsi="Times New Roman" w:cs="Times New Roman"/>
        </w:rPr>
        <w:t>.</w:t>
      </w:r>
      <w:r w:rsidRPr="00014EF4">
        <w:rPr>
          <w:rFonts w:ascii="Times New Roman" w:hAnsi="Times New Roman" w:cs="Times New Roman"/>
        </w:rPr>
        <w:t xml:space="preserve"> The terms severe peripheral neuropathy, severe anemia, and severe thrombocytopenia were used to describe events predicted using the PK-</w:t>
      </w:r>
      <w:r w:rsidR="000B5A0C" w:rsidRPr="00014EF4">
        <w:rPr>
          <w:rFonts w:ascii="Times New Roman" w:hAnsi="Times New Roman" w:cs="Times New Roman"/>
        </w:rPr>
        <w:t xml:space="preserve"> toxicodynamic </w:t>
      </w:r>
      <w:r w:rsidRPr="00014EF4">
        <w:rPr>
          <w:rFonts w:ascii="Times New Roman" w:hAnsi="Times New Roman" w:cs="Times New Roman"/>
        </w:rPr>
        <w:t xml:space="preserve">models developed in this study, as opposed to investigator-reported adverse events </w:t>
      </w:r>
      <w:r w:rsidR="004E0575" w:rsidRPr="00014EF4">
        <w:rPr>
          <w:rFonts w:ascii="Times New Roman" w:hAnsi="Times New Roman" w:cs="Times New Roman"/>
        </w:rPr>
        <w:t>that were investigator defined and elicited in the Nix-TB trial, as described above</w:t>
      </w:r>
      <w:r w:rsidR="000B5A0C" w:rsidRPr="00014EF4">
        <w:rPr>
          <w:rFonts w:ascii="Times New Roman" w:hAnsi="Times New Roman" w:cs="Times New Roman"/>
        </w:rPr>
        <w:t xml:space="preserve"> (p3)</w:t>
      </w:r>
      <w:r w:rsidR="004E0575" w:rsidRPr="00014EF4">
        <w:rPr>
          <w:rFonts w:ascii="Times New Roman" w:hAnsi="Times New Roman" w:cs="Times New Roman"/>
        </w:rPr>
        <w:t xml:space="preserve">. </w:t>
      </w:r>
    </w:p>
    <w:p w14:paraId="4B1EB69D" w14:textId="77777777" w:rsidR="007A4270" w:rsidRPr="00014EF4" w:rsidRDefault="007A4270" w:rsidP="00386B99">
      <w:pPr>
        <w:rPr>
          <w:rFonts w:ascii="Times New Roman" w:hAnsi="Times New Roman" w:cs="Times New Roman"/>
        </w:rPr>
      </w:pPr>
    </w:p>
    <w:p w14:paraId="3744B0F4" w14:textId="57B65AC9" w:rsidR="00A67BF3" w:rsidRPr="00014EF4" w:rsidRDefault="00A67BF3" w:rsidP="00386B99">
      <w:pPr>
        <w:rPr>
          <w:rFonts w:ascii="Times New Roman" w:hAnsi="Times New Roman" w:cs="Times New Roman"/>
        </w:rPr>
      </w:pPr>
      <w:r w:rsidRPr="00014EF4">
        <w:rPr>
          <w:rFonts w:ascii="Times New Roman" w:hAnsi="Times New Roman" w:cs="Times New Roman"/>
        </w:rPr>
        <w:t xml:space="preserve">The linezolid dosages considered were total daily doses of 600 mg or 1200 mg at dosing schedules of twice daily or once daily (300 mg twice daily, 600 mg once daily, 600 mg twice daily, and 1200 mg once daily) for a duration of 6-months. </w:t>
      </w:r>
      <w:r w:rsidR="00BC07DC" w:rsidRPr="00014EF4">
        <w:rPr>
          <w:rFonts w:ascii="Times New Roman" w:hAnsi="Times New Roman" w:cs="Times New Roman"/>
        </w:rPr>
        <w:t xml:space="preserve">Of note, </w:t>
      </w:r>
      <w:r w:rsidR="00356ABE" w:rsidRPr="00014EF4">
        <w:rPr>
          <w:rFonts w:ascii="Times New Roman" w:hAnsi="Times New Roman" w:cs="Times New Roman"/>
        </w:rPr>
        <w:t xml:space="preserve">300 mg twice daily was not studied in the Nix-TB trial but could be readily simulated with our models, along with other doses. </w:t>
      </w:r>
      <w:r w:rsidRPr="00014EF4">
        <w:rPr>
          <w:rFonts w:ascii="Times New Roman" w:hAnsi="Times New Roman" w:cs="Times New Roman"/>
        </w:rPr>
        <w:t>Various strategies to prevent and manage toxicities, particularly peripheral neuropathy and anemia</w:t>
      </w:r>
      <w:r w:rsidR="000B5A0C" w:rsidRPr="00014EF4">
        <w:rPr>
          <w:rFonts w:ascii="Times New Roman" w:hAnsi="Times New Roman" w:cs="Times New Roman"/>
        </w:rPr>
        <w:t xml:space="preserve">, </w:t>
      </w:r>
      <w:r w:rsidRPr="00014EF4">
        <w:rPr>
          <w:rFonts w:ascii="Times New Roman" w:hAnsi="Times New Roman" w:cs="Times New Roman"/>
        </w:rPr>
        <w:t>were investigated after initial total daily doses of 1200 mg. Linezolid dosage reductions to 600 mg or 300 mg daily or discontinuations to manage toxicities were evaluated. Peripheral neuropathy reversal was assessed by defining the first occurrence of a modest or severe peripheral neuropathy score as an event, and linezolid dosage was adjusted at the time of the event using simulations. After dosage adjustment, the time of reversal was defined as the time of the first of two consecutive minimal or normal scores. The distribution of time from the event to reversed neuropathy was determined. For severe anemia, management strategies involved monitoring weekly hemoglobin</w:t>
      </w:r>
      <w:r w:rsidR="000B5A0C" w:rsidRPr="00014EF4">
        <w:rPr>
          <w:rFonts w:ascii="Times New Roman" w:hAnsi="Times New Roman" w:cs="Times New Roman"/>
        </w:rPr>
        <w:t xml:space="preserve"> levels</w:t>
      </w:r>
      <w:r w:rsidRPr="00014EF4">
        <w:rPr>
          <w:rFonts w:ascii="Times New Roman" w:hAnsi="Times New Roman" w:cs="Times New Roman"/>
        </w:rPr>
        <w:t xml:space="preserve"> up to 4 weeks after treatment initiation and linezolid plasma trough concentrations at 2 weeks after treatment initiation (i.e. steady state troughs). </w:t>
      </w:r>
    </w:p>
    <w:p w14:paraId="2B97D4A9" w14:textId="77777777" w:rsidR="007A4270" w:rsidRPr="00014EF4" w:rsidRDefault="007A4270" w:rsidP="00386B99">
      <w:pPr>
        <w:rPr>
          <w:rFonts w:ascii="Times New Roman" w:hAnsi="Times New Roman" w:cs="Times New Roman"/>
        </w:rPr>
      </w:pPr>
    </w:p>
    <w:p w14:paraId="6145608C" w14:textId="70143430" w:rsidR="00A67BF3" w:rsidRDefault="00086B8E" w:rsidP="00386B99">
      <w:pPr>
        <w:rPr>
          <w:rFonts w:ascii="Times New Roman" w:hAnsi="Times New Roman" w:cs="Times New Roman"/>
        </w:rPr>
      </w:pPr>
      <w:r w:rsidRPr="00014EF4">
        <w:rPr>
          <w:rFonts w:ascii="Times New Roman" w:hAnsi="Times New Roman" w:cs="Times New Roman"/>
        </w:rPr>
        <w:t xml:space="preserve">Assessment </w:t>
      </w:r>
      <w:r w:rsidR="00A67BF3" w:rsidRPr="00014EF4">
        <w:rPr>
          <w:rFonts w:ascii="Times New Roman" w:hAnsi="Times New Roman" w:cs="Times New Roman"/>
        </w:rPr>
        <w:t xml:space="preserve">of efficacy </w:t>
      </w:r>
      <w:r w:rsidRPr="00014EF4">
        <w:rPr>
          <w:rFonts w:ascii="Times New Roman" w:hAnsi="Times New Roman" w:cs="Times New Roman"/>
        </w:rPr>
        <w:t xml:space="preserve">metrics were </w:t>
      </w:r>
      <w:r w:rsidR="00A67BF3" w:rsidRPr="00014EF4">
        <w:rPr>
          <w:rFonts w:ascii="Times New Roman" w:hAnsi="Times New Roman" w:cs="Times New Roman"/>
        </w:rPr>
        <w:t>based on</w:t>
      </w:r>
      <w:r w:rsidR="0068175D">
        <w:rPr>
          <w:rFonts w:ascii="Times New Roman" w:hAnsi="Times New Roman" w:cs="Times New Roman"/>
        </w:rPr>
        <w:t xml:space="preserve"> on the </w:t>
      </w:r>
      <w:r w:rsidR="0068175D" w:rsidRPr="002723C7">
        <w:rPr>
          <w:rFonts w:ascii="Times New Roman" w:hAnsi="Times New Roman" w:cs="Times New Roman"/>
        </w:rPr>
        <w:t xml:space="preserve">minimum concentration of </w:t>
      </w:r>
      <w:r w:rsidR="0068175D">
        <w:rPr>
          <w:rFonts w:ascii="Times New Roman" w:hAnsi="Times New Roman" w:cs="Times New Roman"/>
        </w:rPr>
        <w:t xml:space="preserve">linezolid </w:t>
      </w:r>
      <w:r w:rsidR="0068175D" w:rsidRPr="002723C7">
        <w:rPr>
          <w:rFonts w:ascii="Times New Roman" w:hAnsi="Times New Roman" w:cs="Times New Roman"/>
        </w:rPr>
        <w:t xml:space="preserve">at which 90% of </w:t>
      </w:r>
      <w:r w:rsidR="0068175D">
        <w:rPr>
          <w:rFonts w:ascii="Times New Roman" w:hAnsi="Times New Roman" w:cs="Times New Roman"/>
        </w:rPr>
        <w:t>clinical</w:t>
      </w:r>
      <w:r w:rsidR="0068175D" w:rsidRPr="002723C7">
        <w:rPr>
          <w:rFonts w:ascii="Times New Roman" w:hAnsi="Times New Roman" w:cs="Times New Roman"/>
        </w:rPr>
        <w:t xml:space="preserve"> isolates are inhibited</w:t>
      </w:r>
      <w:r w:rsidR="0068175D">
        <w:rPr>
          <w:rFonts w:ascii="Times New Roman" w:hAnsi="Times New Roman" w:cs="Times New Roman"/>
        </w:rPr>
        <w:t xml:space="preserve">, </w:t>
      </w:r>
      <w:r w:rsidR="0068175D" w:rsidRPr="002723C7">
        <w:rPr>
          <w:rFonts w:ascii="Times New Roman" w:hAnsi="Times New Roman" w:cs="Times New Roman"/>
        </w:rPr>
        <w:t>MIC</w:t>
      </w:r>
      <w:r w:rsidR="0068175D" w:rsidRPr="00190B57">
        <w:rPr>
          <w:rFonts w:ascii="Times New Roman" w:hAnsi="Times New Roman" w:cs="Times New Roman"/>
          <w:vertAlign w:val="subscript"/>
        </w:rPr>
        <w:t>90</w:t>
      </w:r>
      <w:r w:rsidR="0068175D">
        <w:rPr>
          <w:rFonts w:ascii="Times New Roman" w:hAnsi="Times New Roman" w:cs="Times New Roman"/>
        </w:rPr>
        <w:t xml:space="preserve">: (1) </w:t>
      </w:r>
      <w:r w:rsidR="00A67BF3" w:rsidRPr="00014EF4">
        <w:rPr>
          <w:rFonts w:ascii="Times New Roman" w:hAnsi="Times New Roman" w:cs="Times New Roman"/>
        </w:rPr>
        <w:t>percentage of simulated patients above the free drug area under the concentration-time curve over 24 hours (fAUC) to minimum inhibitory concentration (MIC</w:t>
      </w:r>
      <w:r w:rsidR="00353141">
        <w:rPr>
          <w:rFonts w:ascii="Times New Roman" w:hAnsi="Times New Roman" w:cs="Times New Roman"/>
          <w:vertAlign w:val="subscript"/>
        </w:rPr>
        <w:t>90</w:t>
      </w:r>
      <w:r w:rsidR="00A67BF3" w:rsidRPr="00014EF4">
        <w:rPr>
          <w:rFonts w:ascii="Times New Roman" w:hAnsi="Times New Roman" w:cs="Times New Roman"/>
        </w:rPr>
        <w:t>) (fAUC/MIC</w:t>
      </w:r>
      <w:r w:rsidR="00353141">
        <w:rPr>
          <w:rFonts w:ascii="Times New Roman" w:hAnsi="Times New Roman" w:cs="Times New Roman"/>
          <w:vertAlign w:val="subscript"/>
        </w:rPr>
        <w:t>90</w:t>
      </w:r>
      <w:r w:rsidR="00A67BF3" w:rsidRPr="00014EF4">
        <w:rPr>
          <w:rFonts w:ascii="Times New Roman" w:hAnsi="Times New Roman" w:cs="Times New Roman"/>
        </w:rPr>
        <w:t xml:space="preserve">) threshold of </w:t>
      </w:r>
      <w:r w:rsidR="00006A9E">
        <w:rPr>
          <w:rFonts w:ascii="Times New Roman" w:hAnsi="Times New Roman" w:cs="Times New Roman"/>
        </w:rPr>
        <w:t>119</w:t>
      </w:r>
      <w:r w:rsidR="00006A9E" w:rsidRPr="00014EF4">
        <w:rPr>
          <w:rFonts w:ascii="Times New Roman" w:hAnsi="Times New Roman" w:cs="Times New Roman"/>
        </w:rPr>
        <w:t xml:space="preserve"> </w:t>
      </w:r>
      <w:r w:rsidR="00A67BF3" w:rsidRPr="00014EF4">
        <w:rPr>
          <w:rFonts w:ascii="Times New Roman" w:hAnsi="Times New Roman" w:cs="Times New Roman"/>
        </w:rPr>
        <w:t xml:space="preserve">and </w:t>
      </w:r>
      <w:r w:rsidR="0068175D">
        <w:rPr>
          <w:rFonts w:ascii="Times New Roman" w:hAnsi="Times New Roman" w:cs="Times New Roman"/>
        </w:rPr>
        <w:t xml:space="preserve">(2) </w:t>
      </w:r>
      <w:r w:rsidR="00006A9E">
        <w:rPr>
          <w:rFonts w:ascii="Times New Roman" w:hAnsi="Times New Roman" w:cs="Times New Roman"/>
        </w:rPr>
        <w:t>percentage of 24-hour time period</w:t>
      </w:r>
      <w:r w:rsidR="0068175D">
        <w:rPr>
          <w:rFonts w:ascii="Times New Roman" w:hAnsi="Times New Roman" w:cs="Times New Roman"/>
        </w:rPr>
        <w:t xml:space="preserve"> that</w:t>
      </w:r>
      <w:r w:rsidR="00006A9E">
        <w:rPr>
          <w:rFonts w:ascii="Times New Roman" w:hAnsi="Times New Roman" w:cs="Times New Roman"/>
        </w:rPr>
        <w:t xml:space="preserve"> unbound concentrations are </w:t>
      </w:r>
      <w:r w:rsidR="00006A9E" w:rsidRPr="00A01065">
        <w:rPr>
          <w:rFonts w:ascii="Times New Roman" w:hAnsi="Times New Roman" w:cs="Times New Roman"/>
        </w:rPr>
        <w:t>above MIC</w:t>
      </w:r>
      <w:r w:rsidR="00006A9E">
        <w:rPr>
          <w:rFonts w:ascii="Times New Roman" w:hAnsi="Times New Roman" w:cs="Times New Roman"/>
          <w:vertAlign w:val="subscript"/>
        </w:rPr>
        <w:t>90</w:t>
      </w:r>
      <w:r w:rsidR="00006A9E" w:rsidRPr="00014EF4" w:rsidDel="00006A9E">
        <w:rPr>
          <w:rFonts w:ascii="Times New Roman" w:hAnsi="Times New Roman" w:cs="Times New Roman"/>
        </w:rPr>
        <w:t xml:space="preserve"> </w:t>
      </w:r>
      <w:r w:rsidR="00A67BF3" w:rsidRPr="00014EF4">
        <w:rPr>
          <w:rFonts w:ascii="Times New Roman" w:hAnsi="Times New Roman" w:cs="Times New Roman"/>
        </w:rPr>
        <w:t>(</w:t>
      </w:r>
      <w:r w:rsidR="00006A9E">
        <w:rPr>
          <w:rFonts w:ascii="Times New Roman" w:hAnsi="Times New Roman" w:cs="Times New Roman"/>
        </w:rPr>
        <w:t>%fT&gt;</w:t>
      </w:r>
      <w:r w:rsidR="00A67BF3" w:rsidRPr="00014EF4">
        <w:rPr>
          <w:rFonts w:ascii="Times New Roman" w:hAnsi="Times New Roman" w:cs="Times New Roman"/>
        </w:rPr>
        <w:t>TMIC</w:t>
      </w:r>
      <w:r w:rsidR="00353141">
        <w:rPr>
          <w:rFonts w:ascii="Times New Roman" w:hAnsi="Times New Roman" w:cs="Times New Roman"/>
          <w:vertAlign w:val="subscript"/>
        </w:rPr>
        <w:t>90</w:t>
      </w:r>
      <w:r w:rsidR="00A67BF3" w:rsidRPr="00014EF4">
        <w:rPr>
          <w:rFonts w:ascii="Times New Roman" w:hAnsi="Times New Roman" w:cs="Times New Roman"/>
        </w:rPr>
        <w:t>)</w:t>
      </w:r>
      <w:r w:rsidR="004E0575"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{"citationItems":[{"id":"ITEM-1","itemData":{"DOI":"10.1093/cid/ciy625","ISSN":"1537-6591","PMID":"30496467","abstract":"Linezolid has been successfully used for treatment of multidrug-resistant tuberculosis (MDR-TB). However, dose- and duration-related toxicity limit its use. Here, our aim was to search relevant pharmacokinetics (PK)/pharmacodynamics (PD) literature to identify the effective PK/PD index and to define the optimal daily dose and dosing frequency of linezolid in MDR-TB regimens. The systematic search resulted in 8 studies that met inclusion criteria. A significant PK variability was observed. Efficacy of linezolid seems to be driven by area under the concentration-time curve (AUC)/minimum inhibitory concentration (MIC). Literature is inconclusive about the preferred administration of a daily dose of 600 mg. To prevent development of drug resistance, an AUC/MIC ratio of 100 in the presence of a companion drug at relevant exposure is required. A daily dose of 600 mg seems appropriate to balance between efficacy and toxicity. Being a drug with a very narrow therapeutic window, linezolid treatment may benefit from a more personalized approach, that is, measuring actual MIC values and therapeutic drug monitoring.","author":[{"dropping-particle":"","family":"Bolhuis","given":"Mathieu S","non-dropping-particle":"","parse-names":false,"suffix":""},{"dropping-particle":"","family":"Akkerman","given":"Onno W","non-dropping-particle":"","parse-names":false,"suffix":""},{"dropping-particle":"","family":"Sturkenboom","given":"Marieke G G","non-dropping-particle":"","parse-names":false,"suffix":""},{"dropping-particle":"","family":"Ghimire","given":"Samiksha","non-dropping-particle":"","parse-names":false,"suffix":""},{"dropping-particle":"","family":"Srivastava","given":"Shashikant","non-dropping-particle":"","parse-names":false,"suffix":""},{"dropping-particle":"","family":"Gumbo","given":"Tawanda","non-dropping-particle":"","parse-names":false,"suffix":""},{"dropping-particle":"","family":"Alffenaar","given":"Jan-Willem C","non-dropping-particle":"","parse-names":false,"suffix":""}],"container-title":"Clinical infectious diseases : an official publication of the Infectious Diseases Society of America","id":"ITEM-1","issue":"suppl_3","issued":{"date-parts":[["2018"]]},"page":"S327-S335","title":"Linezolid-based Regimens for Multidrug-resistant Tuberculosis (TB): A Systematic Review to Establish or Revise the Current Recommended Dose for TB Treatment.","type":"article-journal","volume":"67"},"uris":["http://www.mendeley.com/documents/?uuid=7089019a-17e1-30cc-9298-8ada03bbaa49"]},{"id":"ITEM-2","itemData":{"DOI":"10.1128/AAC.02012-19","ISSN":"10986596","PMID":"31988102","abstract":"Linezolid is increasingly used for the treatment of tuberculosis resistant to first-line agents, but the most effective dosing strategy is yet unknown. From November 2014 to November 2016, we randomized 114 drug-sensitive treatment-naive pulmonary tuberculosis patients from Cape Town, South Africa, to one of six 14-day treatment arms containing linezolid at 300 mg once daily (QD), 300 mg twice daily (BD), 600 mg QD, 600 mg BD, 1,200 mg QD, 1,200 mg three times per week (TIW), or a combination of isoniazid, rifampin, pyrazinamide, and ethambutol. Sixteen-hour sputum samples were collected overnight, and bactericidal activity was characterized by the daily percentage change in time to positivity (TTP) and the daily rate of change in log10(CFU). We also assessed the safety and pharmacokinetics of the study treatments. We found that bactericidal activity increased with increasing doses of linezolid. Based on the daily percentage change in TTP, activity was highest for 1,200 mg QD (4.5%; 95% Bayesian confidence interval [BCI], 3.3 to 5.6), followed by 600 mg BD (4.1%; BCI, 2.5 to 5.7), 600 mg QD (4.1%; BCI, 2.9 to 5.3), 300 mg BD (3.3%; BCI, 1.9 to 4.7), 300 mg QD (2.3%; BCI, 1.1 to 3.5), and 1,200 mg TIW (2.2%; BCI, 1.1 to 3.3). Similar results were seen with bactericidal activity characterized by the daily rate of change in CFU count. Antimycobacterial activity correlated positively with plasma drug exposure and percentage time over MIC. There were no unexpected adverse events. All linezolid doses showed bactericidal activity. For the same total daily dose, once-daily dosing proved to be at least as effective as a divided twice-daily dose. An intermittent dosing regimen, with 1,200 mg given three times weekly, showed the least activity.","author":[{"dropping-particle":"","family":"Diacon","given":"Andreas H.","non-dropping-particle":"","parse-names":false,"suffix":""},{"dropping-particle":"","family":"Jager","given":"Veronique R.","non-dropping-particle":"De","parse-names":false,"suffix":""},{"dropping-particle":"","family":"Dawson","given":"Rodney","non-dropping-particle":"","parse-names":false,"suffix":""},{"dropping-particle":"","family":"Narunsky","given":"Kim","non-dropping-particle":"","parse-names":false,"suffix":""},{"dropping-particle":"","family":"Vanker","given":"Naadira","non-dropping-particle":"","parse-names":false,"suffix":""},{"dropping-particle":"","family":"Burger","given":"Divan A.","non-dropping-particle":"","parse-names":false,"suffix":""},{"dropping-particle":"","family":"Everitt","given":"Daniel","non-dropping-particle":"","parse-names":false,"suffix":""},{"dropping-particle":"","family":"Pappas","given":"Frances","non-dropping-particle":"","parse-names":false,"suffix":""},{"dropping-particle":"","family":"Nedelman","given":"Jerry","non-dropping-particle":"","parse-names":false,"suffix":""},{"dropping-particle":"","family":"Mendel","given":"Carl M.","non-dropping-particle":"","parse-names":false,"suffix":""}],"container-title":"Antimicrobial Agents and Chemotherapy","id":"ITEM-2","issue":"4","issued":{"date-parts":[["2020"]]},"page":"e02012-19","title":"Fourteen-day bactericidal activity, safety, and pharmacokinetics of linezolid in adults with drug-sensitive pulmonary tuberculosis","type":"article-journal","volume":"64"},"uris":["http://www.mendeley.com/documents/?uuid=4d2d489a-60d0-361f-8cb5-339f9852cab8"]},{"id":"ITEM-3","itemData":{"ISSN":"0066-4804","PMID":"32778547","abstract":"The prolonged treatment duration for multidrug-resistant tuberculosis (MDR-TB) makes linezolid dosing difficult because of adverse effects associated with long-term use. We sought to find the optimal dosing regimen for linezolid across different MIC values. Pharmacokinetic (PK) data from TB patients were included from Brazil, Georgia, and two U.S. sites. Population PK modeling and simulation were performed. We used an f AUC (area under the unbound drug concentration-time curve)/MIC ratio of &gt;119 as the PK/pharmacodynamic (PD) target and minimum (trough) concentrations of drug ( C min s) of 2 and 7 mg/liter as thresholds for toxicity. The PK/PD breakpoint was defined as the highest MIC at which the probability of target attainment is &gt;90%. A total of 104 patients with pulmonary TB were included, with a median age and weight of 37 years and 60 kg. Eighty-one percent had drug-resistant TB. The PK data were best described by a one-compartment model. The PK/PD breakpoint was 0.125 mg/liter for a total daily dose of 300 mg, while daily doses of 450 to 600 mg and 900 to 1,200 mg had PK/PD breakpoints of 0.25 and 0.50 mg/liter, respectively. The probability of achieving a C min of ≤2 mg/liter was higher when the dose was given at once than when dividing it into 2 doses. Linezolid at a daily dose of 300 mg may not be optimal. We predicted an excellent and comparable efficacy of linezolid using total daily doses of 900 and 1,200 mg for MICs of ≤0.5 mg/liter but with the potential for more toxicity than with 600 mg daily. The increase in C min was noticeable when the daily dose was divided and may incur greater toxicity.","author":[{"dropping-particle":"","family":"Alghamdi","given":"Wael A.","non-dropping-particle":"","parse-names":false,"suffix":""},{"dropping-particle":"","family":"Al-Shaer","given":"Mohammad H.","non-dropping-particle":"","parse-names":false,"suffix":""},{"dropping-particle":"","family":"An","given":"Guohua","non-dropping-particle":"","parse-names":false,"suffix":""},{"dropping-particle":"","family":"Alsultan","given":"Abdullah","non-dropping-particle":"","parse-names":false,"suffix":""},{"dropping-particle":"","family":"Kipiani","given":"Maia","non-dropping-particle":"","parse-names":false,"suffix":""},{"dropping-particle":"","family":"Barbakadze","given":"Ketevan","non-dropping-particle":"","parse-names":false,"suffix":""},{"dropping-particle":"","family":"Mikiashvili","given":"Lali","non-dropping-particle":"","parse-names":false,"suffix":""},{"dropping-particle":"","family":"Ashkin","given":"David","non-dropping-particle":"","parse-names":false,"suffix":""},{"dropping-particle":"","family":"Griffith","given":"David E.","non-dropping-particle":"","parse-names":false,"suffix":""},{"dropping-particle":"","family":"Cegielski","given":"J. Peter","non-dropping-particle":"","parse-names":false,"suffix":""},{"dropping-particle":"","family":"Kempker","given":"Russell R.","non-dropping-particle":"","parse-names":false,"suffix":""},{"dropping-particle":"","family":"Peloquin","given":"Charles A.","non-dropping-particle":"","parse-names":false,"suffix":""}],"container-title":"Antimicrobial Agents and Chemotherapy","id":"ITEM-3","issue":"10","issued":{"date-parts":[["2020","8","10"]]},"page":"e01174-20","publisher":"American Society for Microbiology","title":"Population Pharmacokinetics of Linezolid in Tuberculosis Patients: Dosing Regimen Simulation and Target Attainment Analysis","type":"article-journal","volume":"64"},"uris":["http://www.mendeley.com/documents/?uuid=2a707845-238d-3258-8c66-3be7fedcbac5"]},{"id":"ITEM-4","itemData":{"DOI":"10.1128/AAC.00751-17","ISSN":"10986596","PMID":"28584143","abstract":"Linezolid has an excellent sterilizing effect in tuberculosis patients but high adverse event rates. The dose that would maximize efficacy and minimize toxicity is unknown. We performed linezolid dose-effect and dose-scheduling studies in the hollow fiber system model of tuberculosis (HFS-TB) for sterilizing effect. HFS-TB units were treated with several doses to mimic human-like linezolid intrapulmonary pharmacokinetics and repetitively sampled for drug concentration, total bacterial burden, linezolid-resistant subpopulations, and RNA sequencing over 2 months. Linezolid-resistant isolates underwent whole-genome sequencing. The expression of genes encoding efflux pumps in the first 1 to 2 weeks revealed the same exposure-response patterns as the linezolid-resistant subpopulation. Linezolid-resistant isolates from the 2nd month of therapy revealed mutations in several efflux pump/transporter genes and a LuxR-family transcriptional regulator. Linezolid sterilizing effect was linked to the ratio of unbound 0- to 24-h area under the concentration-time curve (AUC0–24) to MIC. Optimal microbial kill was achieved at an AUC0–24/MIC ratio of 119. The optimal sterilizing effect dose for clinical use was identified using Monte Carlo simulations. Clinical doses of 300 and 600 mg/day (or double the dose every other day) achieved this target in 87% and &gt;99% of 10,000 patients, respectively. The susceptibility breakpoint identified was 2 mg/liter. The simulations identified that a 300-mg/day dose did not achieve AUC0–24s associated with linezolid toxicity, while 600 mg/day achieved those AUC0–24s in &lt;20% of subjects. The linezolid dose of 300 mg/day performed well and should be compared to 600 mg/day or 1,200 mg every other day in clinical trials.","author":[{"dropping-particle":"","family":"Srivastava","given":"Shashikant","non-dropping-particle":"","parse-names":false,"suffix":""},{"dropping-particle":"","family":"Magombedze","given":"Gesham","non-dropping-particle":"","parse-names":false,"suffix":""},{"dropping-particle":"","family":"Koeuth","given":"Thearith","non-dropping-particle":"","parse-names":false,"suffix":""},{"dropping-particle":"","family":"Sherman","given":"Carleton","non-dropping-particle":"","parse-names":false,"suffix":""},{"dropping-particle":"","family":"Pasipanodya","given":"Jotam G.","non-dropping-particle":"","parse-names":false,"suffix":""},{"dropping-particle":"","family":"Raj","given":"Prithvi","non-dropping-particle":"","parse-names":false,"suffix":""},{"dropping-particle":"","family":"Wakeland","given":"Edward","non-dropping-particle":"","parse-names":false,"suffix":""},{"dropping-particle":"","family":"Deshpande","given":"Devyani","non-dropping-particle":"","parse-names":false,"suffix":""},{"dropping-particle":"","family":"Gumbo","given":"Tawanda","non-dropping-particle":"","parse-names":false,"suffix":""}],"container-title":"Antimicrobial Agents and Chemotherapy","id":"ITEM-4","issue":"8","issued":{"date-parts":[["2017"]]},"title":"Linezolid dose that maximizes sterilizing effect while minimizing toxicity and resistance emergence for tuberculosis","type":"article-journal","volume":"61"},"uris":["http://www.mendeley.com/documents/?uuid=b0df2aed-ef06-3237-8f72-345b5889c446"]}],"mendeley":{"formattedCitation":"[10,21–23]","plainTextFormattedCitation":"[10,21–23]","previouslyFormattedCitation":"[10,21–23]"},"properties":{"noteIndex":0},"schema":"https://github.com/citation-style-language/schema/raw/master/csl-citation.json"}</w:instrText>
      </w:r>
      <w:r w:rsidR="004E0575" w:rsidRPr="00014EF4">
        <w:rPr>
          <w:rFonts w:ascii="Times New Roman" w:hAnsi="Times New Roman" w:cs="Times New Roman"/>
        </w:rPr>
        <w:fldChar w:fldCharType="separate"/>
      </w:r>
      <w:r w:rsidR="00180CEA" w:rsidRPr="00180CEA">
        <w:rPr>
          <w:rFonts w:ascii="Times New Roman" w:hAnsi="Times New Roman" w:cs="Times New Roman"/>
          <w:noProof/>
        </w:rPr>
        <w:t>[10,21–23]</w:t>
      </w:r>
      <w:r w:rsidR="004E0575" w:rsidRPr="00014EF4">
        <w:rPr>
          <w:rFonts w:ascii="Times New Roman" w:hAnsi="Times New Roman" w:cs="Times New Roman"/>
        </w:rPr>
        <w:fldChar w:fldCharType="end"/>
      </w:r>
      <w:r w:rsidR="002B7343" w:rsidRPr="00014EF4">
        <w:rPr>
          <w:rFonts w:ascii="Times New Roman" w:hAnsi="Times New Roman" w:cs="Times New Roman"/>
        </w:rPr>
        <w:t>.</w:t>
      </w:r>
      <w:r w:rsidR="00A67BF3" w:rsidRPr="00014EF4">
        <w:rPr>
          <w:rFonts w:ascii="Times New Roman" w:hAnsi="Times New Roman" w:cs="Times New Roman"/>
        </w:rPr>
        <w:t xml:space="preserve"> </w:t>
      </w:r>
      <w:r w:rsidR="002723C7" w:rsidRPr="002723C7">
        <w:rPr>
          <w:rFonts w:ascii="Times New Roman" w:hAnsi="Times New Roman" w:cs="Times New Roman"/>
        </w:rPr>
        <w:t>MIC</w:t>
      </w:r>
      <w:r w:rsidR="002723C7" w:rsidRPr="006941F2">
        <w:rPr>
          <w:rFonts w:ascii="Times New Roman" w:hAnsi="Times New Roman" w:cs="Times New Roman"/>
          <w:vertAlign w:val="subscript"/>
        </w:rPr>
        <w:t>90</w:t>
      </w:r>
      <w:r w:rsidR="002723C7" w:rsidRPr="002723C7">
        <w:rPr>
          <w:rFonts w:ascii="Times New Roman" w:hAnsi="Times New Roman" w:cs="Times New Roman"/>
        </w:rPr>
        <w:t xml:space="preserve"> of 0.5 mg/L was used </w:t>
      </w:r>
      <w:r w:rsidR="00A72CA7">
        <w:rPr>
          <w:rFonts w:ascii="Times New Roman" w:hAnsi="Times New Roman" w:cs="Times New Roman"/>
        </w:rPr>
        <w:t xml:space="preserve">for calculations </w:t>
      </w:r>
      <w:r w:rsidR="002723C7" w:rsidRPr="002723C7">
        <w:rPr>
          <w:rFonts w:ascii="Times New Roman" w:hAnsi="Times New Roman" w:cs="Times New Roman"/>
        </w:rPr>
        <w:t>and based on the most common</w:t>
      </w:r>
      <w:r w:rsidR="003713A9">
        <w:rPr>
          <w:rFonts w:ascii="Times New Roman" w:hAnsi="Times New Roman" w:cs="Times New Roman"/>
        </w:rPr>
        <w:t>ly reported</w:t>
      </w:r>
      <w:r w:rsidR="002723C7" w:rsidRPr="002723C7">
        <w:rPr>
          <w:rFonts w:ascii="Times New Roman" w:hAnsi="Times New Roman" w:cs="Times New Roman"/>
        </w:rPr>
        <w:t xml:space="preserve"> </w:t>
      </w:r>
      <w:r w:rsidR="00231A70">
        <w:rPr>
          <w:rFonts w:ascii="Times New Roman" w:hAnsi="Times New Roman" w:cs="Times New Roman"/>
        </w:rPr>
        <w:t xml:space="preserve">linezolid </w:t>
      </w:r>
      <w:r w:rsidR="002723C7" w:rsidRPr="006941F2">
        <w:rPr>
          <w:rFonts w:ascii="Times New Roman" w:hAnsi="Times New Roman" w:cs="Times New Roman"/>
          <w:i/>
        </w:rPr>
        <w:t>in vitro</w:t>
      </w:r>
      <w:r w:rsidR="002723C7" w:rsidRPr="002723C7">
        <w:rPr>
          <w:rFonts w:ascii="Times New Roman" w:hAnsi="Times New Roman" w:cs="Times New Roman"/>
        </w:rPr>
        <w:t xml:space="preserve"> MIC</w:t>
      </w:r>
      <w:r w:rsidR="002723C7" w:rsidRPr="006941F2">
        <w:rPr>
          <w:rFonts w:ascii="Times New Roman" w:hAnsi="Times New Roman" w:cs="Times New Roman"/>
          <w:vertAlign w:val="subscript"/>
        </w:rPr>
        <w:t xml:space="preserve">90 </w:t>
      </w:r>
      <w:r w:rsidR="003713A9">
        <w:rPr>
          <w:rFonts w:ascii="Times New Roman" w:hAnsi="Times New Roman" w:cs="Times New Roman"/>
        </w:rPr>
        <w:t>a</w:t>
      </w:r>
      <w:r w:rsidR="002723C7" w:rsidRPr="002723C7">
        <w:rPr>
          <w:rFonts w:ascii="Times New Roman" w:hAnsi="Times New Roman" w:cs="Times New Roman"/>
        </w:rPr>
        <w:t xml:space="preserve">gainst susceptible and resistant </w:t>
      </w:r>
      <w:r w:rsidR="002723C7" w:rsidRPr="006941F2">
        <w:rPr>
          <w:rFonts w:ascii="Times New Roman" w:hAnsi="Times New Roman" w:cs="Times New Roman"/>
          <w:i/>
        </w:rPr>
        <w:t>Mycobacterium</w:t>
      </w:r>
      <w:r w:rsidR="002723C7" w:rsidRPr="002723C7">
        <w:rPr>
          <w:rFonts w:ascii="Times New Roman" w:hAnsi="Times New Roman" w:cs="Times New Roman"/>
        </w:rPr>
        <w:t xml:space="preserve"> </w:t>
      </w:r>
      <w:r w:rsidR="00A72CA7">
        <w:rPr>
          <w:rFonts w:ascii="Times New Roman" w:hAnsi="Times New Roman" w:cs="Times New Roman"/>
        </w:rPr>
        <w:t>TB</w:t>
      </w:r>
      <w:r w:rsidR="00231A70">
        <w:rPr>
          <w:rFonts w:ascii="Times New Roman" w:hAnsi="Times New Roman" w:cs="Times New Roman"/>
        </w:rPr>
        <w:t xml:space="preserve"> in previous studie</w:t>
      </w:r>
      <w:r w:rsidR="00B90300">
        <w:rPr>
          <w:rFonts w:ascii="Times New Roman" w:hAnsi="Times New Roman" w:cs="Times New Roman"/>
        </w:rPr>
        <w:t>s</w:t>
      </w:r>
      <w:r w:rsidR="009048BF">
        <w:rPr>
          <w:rFonts w:ascii="Times New Roman" w:hAnsi="Times New Roman" w:cs="Times New Roman"/>
        </w:rPr>
        <w:t xml:space="preserve"> </w:t>
      </w:r>
      <w:r w:rsidR="009048BF" w:rsidRPr="00014EF4">
        <w:rPr>
          <w:rFonts w:ascii="Times New Roman" w:hAnsi="Times New Roman" w:cs="Times New Roman"/>
          <w:noProof/>
        </w:rPr>
        <w:fldChar w:fldCharType="begin" w:fldLock="1"/>
      </w:r>
      <w:r w:rsidR="00180CEA">
        <w:rPr>
          <w:rFonts w:ascii="Times New Roman" w:hAnsi="Times New Roman" w:cs="Times New Roman"/>
          <w:noProof/>
        </w:rPr>
        <w:instrText>ADDIN CSL_CITATION {"citationItems":[{"id":"ITEM-1","itemData":{"DOI":"10.1016/j.ijantimicag.2006.02.011","ISSN":"09248579","abstract":"The activity of linezolid was studied against 55 Mycobacterium tuberculosis (42 susceptible, 3 isoniazid resistant and 10 isoniazid and rifampicin resistant), one Mycobacterium bovis and two multidrug-resistant M. bovis isolates using the standard 7H10 agar proportion and the ESP Culture System II methods. Both methods displayed similar MIC90 values (minimum inhibitory concentrations for 90% of the organisms) of 0.5 mg/L; however, the former method yielded slightly lower MIC50 values (MICs for 50% of the organisms) (0.25 mg/L) compared with the latter method (0.5 mg/L). No differences were observed between susceptible and resistant isolates, including multidrug-resistant M. bovis isolates, with a MIC range of 0.12-0.5 mg/L. The potential role of linezolid in tuberculosis patients requires further in vivo evaluation. © 2006 Elsevier B.V. and the International Society of Chemotherapy.","author":[{"dropping-particle":"","family":"Tato","given":"M.","non-dropping-particle":"","parse-names":false,"suffix":""},{"dropping-particle":"","family":"la Pedrosa","given":"E. Gómez G.","non-dropping-particle":"de","parse-names":false,"suffix":""},{"dropping-particle":"","family":"Cantón","given":"R.","non-dropping-particle":"","parse-names":false,"suffix":""},{"dropping-particle":"","family":"Gómez-García","given":"I.","non-dropping-particle":"","parse-names":false,"suffix":""},{"dropping-particle":"","family":"Fortún","given":"J.","non-dropping-particle":"","parse-names":false,"suffix":""},{"dropping-particle":"","family":"Martín-Davila","given":"P.","non-dropping-particle":"","parse-names":false,"suffix":""},{"dropping-particle":"","family":"Baquero","given":"F.","non-dropping-particle":"","parse-names":false,"suffix":""},{"dropping-particle":"","family":"Gomez-Mampaso","given":"E.","non-dropping-particle":"","parse-names":false,"suffix":""}],"container-title":"International Journal of Antimicrobial Agents","id":"ITEM-1","issue":"1","issued":{"date-parts":[["2006"]]},"page":"75-78","title":"In vitro activity of linezolid against Mycobacterium tuberculosis complex, including multidrug-resistant Mycobacterium bovis isolates","type":"article-journal","volume":"28"},"uris":["http://www.mendeley.com/documents/?uuid=fb8b8411-e7e1-3709-b180-309dd35495b5"]},{"id":"ITEM-2","itemData":{"DOI":"10.7883/yoken.65.240","ISSN":"18842836","PMID":"22627306","abstract":"The in vitro activity of linezolid was evaluated against 84 clinical isolates of Mycobacterium tuberculosis, including multidrug-resistant (MDR) and extensively drug-resistant (XDR) strains, isolated from the center for tuberculosis research and treatment of the Chinese army. Linezolid showed excellent activity, with minimum inhibitory concentrations (MICs) of 0.125-0.5 μg/mL against all tested isolates. There were no differences in the MIC(50) and MIC(90) of linezolid between susceptible, isoniazid-resistant, MDR, and XDR. Indeed, all of the groups displayed identical MIC(90) values of 0.25 μg/mL, which is lower than previously reported in similar studies. We conclude that linezolid may be a more effective drug against M. tuberculosis and may play an important role in treating drug-resistant tuberculosis in China.","author":[{"dropping-particle":"","family":"Yang","given":"Caie","non-dropping-particle":"","parse-names":false,"suffix":""},{"dropping-particle":"","family":"Lei","given":"Hong","non-dropping-particle":"","parse-names":false,"suffix":""},{"dropping-particle":"","family":"Wang","given":"D.","non-dropping-particle":"","parse-names":false,"suffix":""},{"dropping-particle":"","family":"Meng","given":"Xianghong","non-dropping-particle":"","parse-names":false,"suffix":""},{"dropping-particle":"","family":"He","given":"Jufang","non-dropping-particle":"","parse-names":false,"suffix":""},{"dropping-particle":"","family":"Tong","given":"Aihua","non-dropping-particle":"","parse-names":false,"suffix":""},{"dropping-particle":"","family":"Zhu","given":"Lei","non-dropping-particle":"","parse-names":false,"suffix":""},{"dropping-particle":"","family":"Jiang","given":"Ying","non-dropping-particle":"","parse-names":false,"suffix":""},{"dropping-particle":"","family":"Dong","given":"Mei","non-dropping-particle":"","parse-names":false,"suffix":""}],"container-title":"Japanese journal of infectious diseases","id":"ITEM-2","issue":"3","issued":{"date-parts":[["2012"]]},"page":"240-242","title":"In vitro activity of linezolid against clinical isolates of Mycobacterium tuberculosis, including multidrug-resistant and extensively drug-resistant strains from Beijing, China.","type":"article-journal","volume":"65"},"uris":["http://www.mendeley.com/documents/?uuid=d5708f99-51aa-3688-b24f-b6080e533a52"]},{"id":"ITEM-3","itemData":{"DOI":"10.1128/AAC.00165-18","ISSN":"10986596","PMID":"29844043","abstract":"Oxazolidinones are efficacious in treating mycobacterial infections, including tuberculosis (TB) caused by drug-resistant Mycobacterium tuberculosis. In this study, we compared the in vitro activities and MIC distributions of delpazolid, a novel oxazolidinone, and linezolid against multidrug-resistant TB (MDR-TB) and extensively drug-resistant TB (XDR-TB) in China. Additionally, genetic mutations in 23S rRNA, rplC, and rplD genes were analyzed to reveal potential mechanisms underlying the observed oxazolidinone resistance. A total of 240 M. tuberculosis isolates were included in this study, including 120 MDR-TB isolates and 120 XDR-TB isolates. Overall, linezolid and delpazolid MIC90 values for M. tuberculosis isolates were 0.25 mg/liter and 0.5 mg/liter, respectively. Based on visual inspection, we tentatively set epidemiological cutoff (ECOFF) values for MIC determinations for linezolid and delpazolid at 1.0 mg/liter and 2.0 mg/liter, respectively. Although no significant difference in resistance rates was observed between linezolid and delpazolid among XDR-TB isolates (P 0.05), statistical analysis revealed a significantly greater proportion of linezolid-resistant isolates than delpazolid-resistant isolates within the MDR-TB group (P 0.036). Seven (53.85%) of 13 linezolid-resistant isolates were found to harbor mutations within the three target genes. Additionally, 1 isolate exhibited an amino acid substitution (Arg126His) within the protein encoded by rplD that contributed to high-level resistance to linezolid (MIC of 16 mg/liter), compared to a delpazolid MIC of 0.25. In conclusion, in vitro susceptibility testing revealed that delpazolid antibacterial activity was comparable to that of linezolid. A novel mutation within rplD that endowed M. tuberculosis with linezolid, but not delpazolid, resistance was identified.","author":[{"dropping-particle":"","family":"Zong","given":"Zhaojing","non-dropping-particle":"","parse-names":false,"suffix":""},{"dropping-particle":"","family":"Jing","given":"Wei","non-dropping-particle":"","parse-names":false,"suffix":""},{"dropping-particle":"","family":"Shi","given":"Jin","non-dropping-particle":"","parse-names":false,"suffix":""},{"dropping-particle":"","family":"Wen","given":"Shu'an","non-dropping-particle":"","parse-names":false,"suffix":""},{"dropping-particle":"","family":"Zhang","given":"Tingting","non-dropping-particle":"","parse-names":false,"suffix":""},{"dropping-particle":"","family":"Huo","given":"Fengmin","non-dropping-particle":"","parse-names":false,"suffix":""},{"dropping-particle":"","family":"Shang","given":"Yuanyuan","non-dropping-particle":"","parse-names":false,"suffix":""},{"dropping-particle":"","family":"Liang","given":"Qian","non-dropping-particle":"","parse-names":false,"suffix":""},{"dropping-particle":"","family":"Huang","given":"Hairong","non-dropping-particle":"","parse-names":false,"suffix":""},{"dropping-particle":"","family":"Pang","given":"Yu","non-dropping-particle":"","parse-names":false,"suffix":""}],"container-title":"Antimicrobial Agents and Chemotherapy","id":"ITEM-3","issue":"8","issued":{"date-parts":[["2018"]]},"title":"Comparison of In vitro activity and MIC distributions between the novel oxazolidinone delpazolid and linezolid against multidrug-resistant and extensively drug-resistant mycobacterium tuberculosis in China","type":"article-journal","volume":"62"},"uris":["http://www.mendeley.com/documents/?uuid=e10fe6bf-e9e7-38ab-b5b5-03fb0fee44a3"]},{"id":"ITEM-4","itemData":{"DOI":"10.1093/JAC/DKY414","ISSN":"0305-7453","abstract":"Objectives To describe the distributions of bedaquiline and linezolid MIC values for the Mycobacterium tuberculosis WT population and to define the corresponding epidemiological cut-offs (ECOFFs) in three Latin American countries. Methods MICs of bedaquiline and linezolid were determined by the resazurin microtitre assay (REMA). In phase 1, interlaboratory reproducibility was assessed using a panel of 10 fully susceptible M. tuberculosis strains. Phase 2 involved MIC determination for 248 clinical isolates from Argentina (n = 58), Brazil (n = 100) and Peru (n = 90) from patients who were treatment-naive for bedaquiline and linezolid. We then determined the ECOFFs for bedaquiline and linezolid by the eyeball method and the ECOFFinder statistical calculator. Results Phase 1: REMA MIC values in the three sites were either identical to each other or differed by one 2-fold dilution from the consensus value with the exception of a single value. Phase 2: The bedaquiline MIC range was 0.0039-0.25 mg/L for pan-susceptible and drug-resistant isolates combined. The linezolid MIC range was 0.062-0.5 mg/L for pan-susceptible isolates and 0.031-4 mg/L for drug-resistant isolates. ECOFFs were 0.125 mg/L for bedaquiline and 0.50 mg/L for linezolid. Conclusions REMA is reproducible and robust for the determination of bedaquiline and linezolid MIC distributions and ECOFF values when applied in laboratories of medium/low-resource countries. We suggest that WT MIC distributions for both drugs should be used as a monitoring tool to control the possible rapid emergence of resistance.","author":[{"dropping-particle":"","family":"Lopez","given":"Beatriz","non-dropping-particle":"","parse-names":false,"suffix":""},{"dropping-particle":"","family":"Siqueira de Oliveira","given":"Rosangela","non-dropping-particle":"","parse-names":false,"suffix":""},{"dropping-particle":"","family":"Pinhata","given":"Juliana M W","non-dropping-particle":"","parse-names":false,"suffix":""},{"dropping-particle":"","family":"Chimara","given":"Erica","non-dropping-particle":"","parse-names":false,"suffix":""},{"dropping-particle":"","family":"Pacheco Ascencio","given":"Edson","non-dropping-particle":"","parse-names":false,"suffix":""},{"dropping-particle":"","family":"Puyén Guerra","given":"Zully M","non-dropping-particle":"","parse-names":false,"suffix":""},{"dropping-particle":"","family":"Wainmayer","given":"Ingrid","non-dropping-particle":"","parse-names":false,"suffix":""},{"dropping-particle":"","family":"Simboli","given":"Norberto","non-dropping-particle":"","parse-names":false,"suffix":""},{"dropping-particle":"","family":"Granado","given":"Mirtha","non-dropping-particle":"Del","parse-names":false,"suffix":""},{"dropping-particle":"","family":"Palomino","given":"Juan Carlos","non-dropping-particle":"","parse-names":false,"suffix":""},{"dropping-particle":"","family":"Ritacco","given":"Viviana","non-dropping-particle":"","parse-names":false,"suffix":""},{"dropping-particle":"","family":"Martin","given":"Anandi","non-dropping-particle":"","parse-names":false,"suffix":""}],"container-title":"Journal of Antimicrobial Chemotherapy","id":"ITEM-4","issue":"2","issued":{"date-parts":[["2019","2","1"]]},"page":"373-379","publisher":"Oxford Academic","title":"Bedaquiline and linezolid MIC distributions and epidemiological cut-off values for Mycobacterium tuberculosis in the Latin American region","type":"article-journal","volume":"74"},"uris":["http://www.mendeley.com/documents/?uuid=93d92a9b-ad8f-3ed8-a986-128f25a95082"]},{"id":"ITEM-5","itemData":{"DOI":"10.1128/AAC.02012-19","ISSN":"10986596","PMID":"31988102","abstract":"Linezolid is increasingly used for the treatment of tuberculosis resistant to first-line agents, but the most effective dosing strategy is yet unknown. From November 2014 to November 2016, we randomized 114 drug-sensitive treatment-naive pulmonary tuberculosis patients from Cape Town, South Africa, to one of six 14-day treatment arms containing linezolid at 300 mg once daily (QD), 300 mg twice daily (BD), 600 mg QD, 600 mg BD, 1,200 mg QD, 1,200 mg three times per week (TIW), or a combination of isoniazid, rifampin, pyrazinamide, and ethambutol. Sixteen-hour sputum samples were collected overnight, and bactericidal activity was characterized by the daily percentage change in time to positivity (TTP) and the daily rate of change in log10(CFU). We also assessed the safety and pharmacokinetics of the study treatments. We found that bactericidal activity increased with increasing doses of linezolid. Based on the daily percentage change in TTP, activity was highest for 1,200 mg QD (4.5%; 95% Bayesian confidence interval [BCI], 3.3 to 5.6), followed by 600 mg BD (4.1%; BCI, 2.5 to 5.7), 600 mg QD (4.1%; BCI, 2.9 to 5.3), 300 mg BD (3.3%; BCI, 1.9 to 4.7), 300 mg QD (2.3%; BCI, 1.1 to 3.5), and 1,200 mg TIW (2.2%; BCI, 1.1 to 3.3). Similar results were seen with bactericidal activity characterized by the daily rate of change in CFU count. Antimycobacterial activity correlated positively with plasma drug exposure and percentage time over MIC. There were no unexpected adverse events. All linezolid doses showed bactericidal activity. For the same total daily dose, once-daily dosing proved to be at least as effective as a divided twice-daily dose. An intermittent dosing regimen, with 1,200 mg given three times weekly, showed the least activity.","author":[{"dropping-particle":"","family":"Diacon","given":"Andreas H.","non-dropping-particle":"","parse-names":false,"suffix":""},{"dropping-particle":"","family":"Jager","given":"Veronique R.","non-dropping-particle":"De","parse-names":false,"suffix":""},{"dropping-particle":"","family":"Dawson","given":"Rodney","non-dropping-particle":"","parse-names":false,"suffix":""},{"dropping-particle":"","family":"Narunsky","given":"Kim","non-dropping-particle":"","parse-names":false,"suffix":""},{"dropping-particle":"","family":"Vanker","given":"Naadira","non-dropping-particle":"","parse-names":false,"suffix":""},{"dropping-particle":"","family":"Burger","given":"Divan A.","non-dropping-particle":"","parse-names":false,"suffix":""},{"dropping-particle":"","family":"Everitt","given":"Daniel","non-dropping-particle":"","parse-names":false,"suffix":""},{"dropping-particle":"","family":"Pappas","given":"Frances","non-dropping-particle":"","parse-names":false,"suffix":""},{"dropping-particle":"","family":"Nedelman","given":"Jerry","non-dropping-particle":"","parse-names":false,"suffix":""},{"dropping-particle":"","family":"Mendel","given":"Carl M.","non-dropping-particle":"","parse-names":false,"suffix":""}],"container-title":"Antimicrobial Agents and Chemotherapy","id":"ITEM-5","issue":"4","issued":{"date-parts":[["2020"]]},"page":"e02012-19","title":"Fourteen-day bactericidal activity, safety, and pharmacokinetics of linezolid in adults with drug-sensitive pulmonary tuberculosis","type":"article-journal","volume":"64"},"uris":["http://www.mendeley.com/documents/?uuid=4d2d489a-60d0-361f-8cb5-339f9852cab8"]}],"mendeley":{"formattedCitation":"[22,24–27]","plainTextFormattedCitation":"[22,24–27]","previouslyFormattedCitation":"[22,24–27]"},"properties":{"noteIndex":0},"schema":"https://github.com/citation-style-language/schema/raw/master/csl-citation.json"}</w:instrText>
      </w:r>
      <w:r w:rsidR="009048BF" w:rsidRPr="00014EF4">
        <w:rPr>
          <w:rFonts w:ascii="Times New Roman" w:hAnsi="Times New Roman" w:cs="Times New Roman"/>
          <w:noProof/>
        </w:rPr>
        <w:fldChar w:fldCharType="separate"/>
      </w:r>
      <w:r w:rsidR="00180CEA" w:rsidRPr="00180CEA">
        <w:rPr>
          <w:rFonts w:ascii="Times New Roman" w:hAnsi="Times New Roman" w:cs="Times New Roman"/>
          <w:noProof/>
        </w:rPr>
        <w:t>[22,24–27]</w:t>
      </w:r>
      <w:r w:rsidR="009048BF" w:rsidRPr="00014EF4">
        <w:rPr>
          <w:rFonts w:ascii="Times New Roman" w:hAnsi="Times New Roman" w:cs="Times New Roman"/>
          <w:noProof/>
        </w:rPr>
        <w:fldChar w:fldCharType="end"/>
      </w:r>
      <w:r w:rsidR="00B90300">
        <w:rPr>
          <w:rFonts w:ascii="Times New Roman" w:hAnsi="Times New Roman" w:cs="Times New Roman"/>
        </w:rPr>
        <w:t xml:space="preserve">. We </w:t>
      </w:r>
      <w:r w:rsidR="00B90300">
        <w:rPr>
          <w:rFonts w:ascii="Times New Roman" w:hAnsi="Times New Roman" w:cs="Times New Roman"/>
        </w:rPr>
        <w:lastRenderedPageBreak/>
        <w:t>also report the efficacy metrics when using the lower (0.125 mg/L) and upper (1 mg/L) range of reported linezolid MIC</w:t>
      </w:r>
      <w:r w:rsidR="00B90300">
        <w:rPr>
          <w:rFonts w:ascii="Times New Roman" w:hAnsi="Times New Roman" w:cs="Times New Roman"/>
          <w:vertAlign w:val="subscript"/>
        </w:rPr>
        <w:t>90</w:t>
      </w:r>
      <w:r w:rsidR="00B90300">
        <w:rPr>
          <w:rFonts w:ascii="Times New Roman" w:hAnsi="Times New Roman" w:cs="Times New Roman"/>
        </w:rPr>
        <w:t xml:space="preserve"> values in Supplemental Table</w:t>
      </w:r>
      <w:r w:rsidR="003320E0">
        <w:rPr>
          <w:rFonts w:ascii="Times New Roman" w:hAnsi="Times New Roman" w:cs="Times New Roman"/>
        </w:rPr>
        <w:t xml:space="preserve"> 10</w:t>
      </w:r>
      <w:r w:rsidR="002B7343" w:rsidRPr="00014EF4">
        <w:rPr>
          <w:rFonts w:ascii="Times New Roman" w:hAnsi="Times New Roman" w:cs="Times New Roman"/>
          <w:noProof/>
        </w:rPr>
        <w:t>.</w:t>
      </w:r>
      <w:r w:rsidR="00A67BF3" w:rsidRPr="00014EF4">
        <w:rPr>
          <w:rFonts w:ascii="Times New Roman" w:hAnsi="Times New Roman" w:cs="Times New Roman"/>
        </w:rPr>
        <w:t xml:space="preserve"> The plasma protein binding of linezolid is 31%</w:t>
      </w:r>
      <w:r w:rsidR="004E0575" w:rsidRPr="00014EF4">
        <w:rPr>
          <w:rFonts w:ascii="Times New Roman" w:hAnsi="Times New Roman" w:cs="Times New Roman"/>
        </w:rPr>
        <w:fldChar w:fldCharType="begin" w:fldLock="1"/>
      </w:r>
      <w:r w:rsidR="00180CEA">
        <w:rPr>
          <w:rFonts w:ascii="Times New Roman" w:hAnsi="Times New Roman" w:cs="Times New Roman"/>
        </w:rPr>
        <w:instrText>ADDIN CSL_CITATION {"citationItems":[{"id":"ITEM-1","itemData":{"author":[{"dropping-particle":"","family":"Pfizer Pharmaceuticals","given":"","non-dropping-particle":"","parse-names":false,"suffix":""}],"id":"ITEM-1","issued":{"date-parts":[["2000"]]},"title":"ZYVOX (linezolid) [Package label]","type":"report"},"uris":["http://www.mendeley.com/documents/?uuid=e53ff30e-1927-30f0-8c69-bb27a4eec0b6"]}],"mendeley":{"formattedCitation":"[28]","plainTextFormattedCitation":"[28]","previouslyFormattedCitation":"[28]"},"properties":{"noteIndex":0},"schema":"https://github.com/citation-style-language/schema/raw/master/csl-citation.json"}</w:instrText>
      </w:r>
      <w:r w:rsidR="004E0575" w:rsidRPr="00014EF4">
        <w:rPr>
          <w:rFonts w:ascii="Times New Roman" w:hAnsi="Times New Roman" w:cs="Times New Roman"/>
        </w:rPr>
        <w:fldChar w:fldCharType="separate"/>
      </w:r>
      <w:r w:rsidR="00180CEA" w:rsidRPr="00180CEA">
        <w:rPr>
          <w:rFonts w:ascii="Times New Roman" w:hAnsi="Times New Roman" w:cs="Times New Roman"/>
          <w:noProof/>
        </w:rPr>
        <w:t>[28]</w:t>
      </w:r>
      <w:r w:rsidR="004E0575" w:rsidRPr="00014EF4">
        <w:rPr>
          <w:rFonts w:ascii="Times New Roman" w:hAnsi="Times New Roman" w:cs="Times New Roman"/>
        </w:rPr>
        <w:fldChar w:fldCharType="end"/>
      </w:r>
      <w:r w:rsidR="002B7343" w:rsidRPr="00014EF4">
        <w:rPr>
          <w:rFonts w:ascii="Times New Roman" w:hAnsi="Times New Roman" w:cs="Times New Roman"/>
        </w:rPr>
        <w:t>.</w:t>
      </w:r>
    </w:p>
    <w:p w14:paraId="3192C4C4" w14:textId="05F2D379" w:rsidR="000B5A0C" w:rsidRPr="00014EF4" w:rsidRDefault="000B5A0C" w:rsidP="00386B99">
      <w:pPr>
        <w:rPr>
          <w:rFonts w:ascii="Times New Roman" w:hAnsi="Times New Roman" w:cs="Times New Roman"/>
          <w:b/>
        </w:rPr>
      </w:pPr>
    </w:p>
    <w:p w14:paraId="3D95C7E1" w14:textId="26EEC89C" w:rsidR="00A67BF3" w:rsidRPr="006941F2" w:rsidRDefault="00A67BF3" w:rsidP="006941F2">
      <w:pPr>
        <w:pStyle w:val="Heading2"/>
        <w:rPr>
          <w:rFonts w:ascii="Times New Roman" w:hAnsi="Times New Roman" w:cs="Times New Roman"/>
          <w:b/>
          <w:color w:val="auto"/>
          <w:sz w:val="24"/>
          <w:szCs w:val="24"/>
        </w:rPr>
      </w:pPr>
      <w:r w:rsidRPr="006941F2">
        <w:rPr>
          <w:rFonts w:ascii="Times New Roman" w:hAnsi="Times New Roman" w:cs="Times New Roman"/>
          <w:b/>
          <w:color w:val="auto"/>
          <w:sz w:val="24"/>
          <w:szCs w:val="24"/>
        </w:rPr>
        <w:t xml:space="preserve">Statistical analysis </w:t>
      </w:r>
    </w:p>
    <w:p w14:paraId="3621E798" w14:textId="0729FEA1" w:rsidR="00A67BF3" w:rsidRPr="00014EF4" w:rsidRDefault="00A67BF3" w:rsidP="00386B99">
      <w:pPr>
        <w:rPr>
          <w:rFonts w:ascii="Times New Roman" w:hAnsi="Times New Roman" w:cs="Times New Roman"/>
        </w:rPr>
      </w:pPr>
      <w:r w:rsidRPr="00014EF4">
        <w:rPr>
          <w:rFonts w:ascii="Times New Roman" w:hAnsi="Times New Roman" w:cs="Times New Roman"/>
        </w:rPr>
        <w:t>Cox regression analysis was performed to identify covariates associated with time to first occurrence of investigator-reported adverse events in the Nix-TB trial. Patient demographics and clinical characteristics (human immunodeficiency virus (HIV) status, body mass index (BMI), weight, age, and sex) and linezolid exposure (model simulated steady state C</w:t>
      </w:r>
      <w:r w:rsidRPr="00014EF4">
        <w:rPr>
          <w:rFonts w:ascii="Times New Roman" w:hAnsi="Times New Roman" w:cs="Times New Roman"/>
          <w:vertAlign w:val="subscript"/>
        </w:rPr>
        <w:t>max</w:t>
      </w:r>
      <w:r w:rsidRPr="00014EF4">
        <w:rPr>
          <w:rFonts w:ascii="Times New Roman" w:hAnsi="Times New Roman" w:cs="Times New Roman"/>
        </w:rPr>
        <w:t>, C</w:t>
      </w:r>
      <w:r w:rsidRPr="00014EF4">
        <w:rPr>
          <w:rFonts w:ascii="Times New Roman" w:hAnsi="Times New Roman" w:cs="Times New Roman"/>
          <w:vertAlign w:val="subscript"/>
        </w:rPr>
        <w:t>min</w:t>
      </w:r>
      <w:r w:rsidRPr="00014EF4">
        <w:rPr>
          <w:rFonts w:ascii="Times New Roman" w:hAnsi="Times New Roman" w:cs="Times New Roman"/>
        </w:rPr>
        <w:t xml:space="preserve">, and AUC, and measured trough concentrations at week 2) were assessed as predictors for each investigator-reported adverse event. Hemoglobin levels at pretreatment, 1 week, 2 weeks, and 4 weeks were assessed at predictors of investigator-reported anemia adverse events. The area under the receiver operating characteristic curve </w:t>
      </w:r>
      <w:r w:rsidR="008160A7" w:rsidRPr="00014EF4">
        <w:rPr>
          <w:rFonts w:ascii="Times New Roman" w:hAnsi="Times New Roman" w:cs="Times New Roman"/>
        </w:rPr>
        <w:t>(AUROC) was</w:t>
      </w:r>
      <w:r w:rsidRPr="00014EF4">
        <w:rPr>
          <w:rFonts w:ascii="Times New Roman" w:hAnsi="Times New Roman" w:cs="Times New Roman"/>
        </w:rPr>
        <w:t xml:space="preserve"> </w:t>
      </w:r>
      <w:r w:rsidR="008160A7" w:rsidRPr="00014EF4">
        <w:rPr>
          <w:rFonts w:ascii="Times New Roman" w:hAnsi="Times New Roman" w:cs="Times New Roman"/>
        </w:rPr>
        <w:t>used</w:t>
      </w:r>
      <w:r w:rsidRPr="00014EF4">
        <w:rPr>
          <w:rFonts w:ascii="Times New Roman" w:hAnsi="Times New Roman" w:cs="Times New Roman"/>
        </w:rPr>
        <w:t xml:space="preserve"> to assess model discrimination. Data management, statistical analysis and visualizations were performed using the R software (v3.4.1).</w:t>
      </w:r>
    </w:p>
    <w:p w14:paraId="4DBE786D" w14:textId="77777777" w:rsidR="00A67BF3" w:rsidRPr="00014EF4" w:rsidRDefault="00A67BF3" w:rsidP="00386B99">
      <w:pPr>
        <w:rPr>
          <w:rFonts w:ascii="Times New Roman" w:hAnsi="Times New Roman" w:cs="Times New Roman"/>
          <w:b/>
        </w:rPr>
      </w:pPr>
    </w:p>
    <w:p w14:paraId="3EE7FED2" w14:textId="77777777" w:rsidR="00F2206C" w:rsidRPr="00014EF4" w:rsidRDefault="00F2206C" w:rsidP="00386B99">
      <w:pPr>
        <w:rPr>
          <w:rFonts w:ascii="Times New Roman" w:hAnsi="Times New Roman" w:cs="Times New Roman"/>
          <w:b/>
          <w:highlight w:val="yellow"/>
        </w:rPr>
      </w:pPr>
      <w:r w:rsidRPr="00014EF4">
        <w:rPr>
          <w:rFonts w:ascii="Times New Roman" w:hAnsi="Times New Roman" w:cs="Times New Roman"/>
          <w:b/>
          <w:highlight w:val="yellow"/>
        </w:rPr>
        <w:br w:type="page"/>
      </w:r>
    </w:p>
    <w:p w14:paraId="1F1ECF02" w14:textId="13E8C0E6" w:rsidR="00A67BF3" w:rsidRPr="006941F2" w:rsidRDefault="00393591" w:rsidP="006941F2">
      <w:pPr>
        <w:pStyle w:val="Heading1"/>
        <w:rPr>
          <w:rFonts w:ascii="Times New Roman" w:hAnsi="Times New Roman" w:cs="Times New Roman"/>
          <w:b/>
          <w:color w:val="auto"/>
          <w:sz w:val="28"/>
          <w:szCs w:val="28"/>
        </w:rPr>
      </w:pPr>
      <w:r w:rsidRPr="006941F2">
        <w:rPr>
          <w:rFonts w:ascii="Times New Roman" w:hAnsi="Times New Roman" w:cs="Times New Roman"/>
          <w:b/>
          <w:color w:val="auto"/>
          <w:sz w:val="28"/>
          <w:szCs w:val="28"/>
        </w:rPr>
        <w:lastRenderedPageBreak/>
        <w:t>REFERENCES</w:t>
      </w:r>
    </w:p>
    <w:p w14:paraId="5500DC16" w14:textId="76BB8B45" w:rsidR="006A53E8" w:rsidRPr="006A53E8" w:rsidRDefault="004E0575" w:rsidP="006A53E8">
      <w:pPr>
        <w:widowControl w:val="0"/>
        <w:autoSpaceDE w:val="0"/>
        <w:autoSpaceDN w:val="0"/>
        <w:adjustRightInd w:val="0"/>
        <w:ind w:left="640" w:hanging="640"/>
        <w:rPr>
          <w:rFonts w:ascii="Times New Roman" w:hAnsi="Times New Roman" w:cs="Times New Roman"/>
          <w:noProof/>
        </w:rPr>
      </w:pPr>
      <w:r w:rsidRPr="00014EF4">
        <w:rPr>
          <w:rFonts w:ascii="Times New Roman" w:hAnsi="Times New Roman" w:cs="Times New Roman"/>
          <w:b/>
        </w:rPr>
        <w:fldChar w:fldCharType="begin" w:fldLock="1"/>
      </w:r>
      <w:r w:rsidRPr="00014EF4">
        <w:rPr>
          <w:rFonts w:ascii="Times New Roman" w:hAnsi="Times New Roman" w:cs="Times New Roman"/>
          <w:b/>
        </w:rPr>
        <w:instrText xml:space="preserve">ADDIN Mendeley Bibliography CSL_BIBLIOGRAPHY </w:instrText>
      </w:r>
      <w:r w:rsidRPr="00014EF4">
        <w:rPr>
          <w:rFonts w:ascii="Times New Roman" w:hAnsi="Times New Roman" w:cs="Times New Roman"/>
          <w:b/>
        </w:rPr>
        <w:fldChar w:fldCharType="separate"/>
      </w:r>
      <w:r w:rsidR="006A53E8" w:rsidRPr="006A53E8">
        <w:rPr>
          <w:rFonts w:ascii="Times New Roman" w:hAnsi="Times New Roman" w:cs="Times New Roman"/>
          <w:noProof/>
        </w:rPr>
        <w:t xml:space="preserve">1. </w:t>
      </w:r>
      <w:r w:rsidR="006A53E8" w:rsidRPr="006A53E8">
        <w:rPr>
          <w:rFonts w:ascii="Times New Roman" w:hAnsi="Times New Roman" w:cs="Times New Roman"/>
          <w:noProof/>
        </w:rPr>
        <w:tab/>
        <w:t xml:space="preserve">Conradie F, Diacon AH, Ngubane N, et al. Treatment of Highly Drug-Resistant Pulmonary Tuberculosis. N Engl J Med </w:t>
      </w:r>
      <w:r w:rsidR="006A53E8" w:rsidRPr="006A53E8">
        <w:rPr>
          <w:rFonts w:ascii="Times New Roman" w:hAnsi="Times New Roman" w:cs="Times New Roman"/>
          <w:b/>
          <w:bCs/>
          <w:noProof/>
        </w:rPr>
        <w:t>2020</w:t>
      </w:r>
      <w:r w:rsidR="006A53E8" w:rsidRPr="006A53E8">
        <w:rPr>
          <w:rFonts w:ascii="Times New Roman" w:hAnsi="Times New Roman" w:cs="Times New Roman"/>
          <w:noProof/>
        </w:rPr>
        <w:t xml:space="preserve">; 382:893–902. </w:t>
      </w:r>
    </w:p>
    <w:p w14:paraId="1D080F70"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 </w:t>
      </w:r>
      <w:r w:rsidRPr="006A53E8">
        <w:rPr>
          <w:rFonts w:ascii="Times New Roman" w:hAnsi="Times New Roman" w:cs="Times New Roman"/>
          <w:noProof/>
        </w:rPr>
        <w:tab/>
        <w:t>FDA Center for Drug Evaluation and Research Appication Number: 212862Orig1s1000. 2016. Available at: https://www.accessdata.fda.gov/drugsatfda_docs/nda/2019/212862Orig1s000MultidisciplineR.pdf.</w:t>
      </w:r>
    </w:p>
    <w:p w14:paraId="5944EE30"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3. </w:t>
      </w:r>
      <w:r w:rsidRPr="006A53E8">
        <w:rPr>
          <w:rFonts w:ascii="Times New Roman" w:hAnsi="Times New Roman" w:cs="Times New Roman"/>
          <w:noProof/>
        </w:rPr>
        <w:tab/>
        <w:t xml:space="preserve">Cherry CL, Wesselingh SL, Lal L, McArthur JC. Evaluation of a clinical screening tool for HIV-associated sensory neuropathies. Neurology </w:t>
      </w:r>
      <w:r w:rsidRPr="006A53E8">
        <w:rPr>
          <w:rFonts w:ascii="Times New Roman" w:hAnsi="Times New Roman" w:cs="Times New Roman"/>
          <w:b/>
          <w:bCs/>
          <w:noProof/>
        </w:rPr>
        <w:t>2005</w:t>
      </w:r>
      <w:r w:rsidRPr="006A53E8">
        <w:rPr>
          <w:rFonts w:ascii="Times New Roman" w:hAnsi="Times New Roman" w:cs="Times New Roman"/>
          <w:noProof/>
        </w:rPr>
        <w:t xml:space="preserve">; 65:1778–1781. </w:t>
      </w:r>
    </w:p>
    <w:p w14:paraId="4472919C"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4. </w:t>
      </w:r>
      <w:r w:rsidRPr="006A53E8">
        <w:rPr>
          <w:rFonts w:ascii="Times New Roman" w:hAnsi="Times New Roman" w:cs="Times New Roman"/>
          <w:noProof/>
        </w:rPr>
        <w:tab/>
        <w:t xml:space="preserve">McGee B, Dietze R, Hadad DJ, et al. Population Pharmacokinetics of Linezolid in Adults with Pulmonary Tuberculosis. Antimicrob Agents Chemother </w:t>
      </w:r>
      <w:r w:rsidRPr="006A53E8">
        <w:rPr>
          <w:rFonts w:ascii="Times New Roman" w:hAnsi="Times New Roman" w:cs="Times New Roman"/>
          <w:b/>
          <w:bCs/>
          <w:noProof/>
        </w:rPr>
        <w:t>2009</w:t>
      </w:r>
      <w:r w:rsidRPr="006A53E8">
        <w:rPr>
          <w:rFonts w:ascii="Times New Roman" w:hAnsi="Times New Roman" w:cs="Times New Roman"/>
          <w:noProof/>
        </w:rPr>
        <w:t xml:space="preserve">; 53:3981–3984. </w:t>
      </w:r>
    </w:p>
    <w:p w14:paraId="7A48F645"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5. </w:t>
      </w:r>
      <w:r w:rsidRPr="006A53E8">
        <w:rPr>
          <w:rFonts w:ascii="Times New Roman" w:hAnsi="Times New Roman" w:cs="Times New Roman"/>
          <w:noProof/>
        </w:rPr>
        <w:tab/>
        <w:t xml:space="preserve">Boak LM, Rayner CR, Grayson ML, et al. Clinical population pharmacokinetics and toxicodynamics of linezolid. Antimicrob Agents Chemother </w:t>
      </w:r>
      <w:r w:rsidRPr="006A53E8">
        <w:rPr>
          <w:rFonts w:ascii="Times New Roman" w:hAnsi="Times New Roman" w:cs="Times New Roman"/>
          <w:b/>
          <w:bCs/>
          <w:noProof/>
        </w:rPr>
        <w:t>2014</w:t>
      </w:r>
      <w:r w:rsidRPr="006A53E8">
        <w:rPr>
          <w:rFonts w:ascii="Times New Roman" w:hAnsi="Times New Roman" w:cs="Times New Roman"/>
          <w:noProof/>
        </w:rPr>
        <w:t xml:space="preserve">; 58:2334–43. </w:t>
      </w:r>
    </w:p>
    <w:p w14:paraId="5C1CA4C8"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6. </w:t>
      </w:r>
      <w:r w:rsidRPr="006A53E8">
        <w:rPr>
          <w:rFonts w:ascii="Times New Roman" w:hAnsi="Times New Roman" w:cs="Times New Roman"/>
          <w:noProof/>
        </w:rPr>
        <w:tab/>
        <w:t xml:space="preserve">Sasaki T, Takane H, Ogawa K, et al. Population Pharmacokinetic and Pharmacodynamic Analysis of Linezolid and a Hematologic Side Effect, Thrombocytopenia, in Japanese Patients. Antimicrob Agents Chemother </w:t>
      </w:r>
      <w:r w:rsidRPr="006A53E8">
        <w:rPr>
          <w:rFonts w:ascii="Times New Roman" w:hAnsi="Times New Roman" w:cs="Times New Roman"/>
          <w:b/>
          <w:bCs/>
          <w:noProof/>
        </w:rPr>
        <w:t>2011</w:t>
      </w:r>
      <w:r w:rsidRPr="006A53E8">
        <w:rPr>
          <w:rFonts w:ascii="Times New Roman" w:hAnsi="Times New Roman" w:cs="Times New Roman"/>
          <w:noProof/>
        </w:rPr>
        <w:t xml:space="preserve">; 55:1867–1873. </w:t>
      </w:r>
    </w:p>
    <w:p w14:paraId="51EA8644"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7. </w:t>
      </w:r>
      <w:r w:rsidRPr="006A53E8">
        <w:rPr>
          <w:rFonts w:ascii="Times New Roman" w:hAnsi="Times New Roman" w:cs="Times New Roman"/>
          <w:noProof/>
        </w:rPr>
        <w:tab/>
        <w:t xml:space="preserve">Meagher AK, Forrest A, Rayner CR, Birmingham MC, Schentag JJ. Population pharmacokinetics of linezolid in patients treated in a compassionate-use program. Antimicrob Agents Chemother </w:t>
      </w:r>
      <w:r w:rsidRPr="006A53E8">
        <w:rPr>
          <w:rFonts w:ascii="Times New Roman" w:hAnsi="Times New Roman" w:cs="Times New Roman"/>
          <w:b/>
          <w:bCs/>
          <w:noProof/>
        </w:rPr>
        <w:t>2003</w:t>
      </w:r>
      <w:r w:rsidRPr="006A53E8">
        <w:rPr>
          <w:rFonts w:ascii="Times New Roman" w:hAnsi="Times New Roman" w:cs="Times New Roman"/>
          <w:noProof/>
        </w:rPr>
        <w:t xml:space="preserve">; 47:548–53. </w:t>
      </w:r>
    </w:p>
    <w:p w14:paraId="2D2DB0FA"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8. </w:t>
      </w:r>
      <w:r w:rsidRPr="006A53E8">
        <w:rPr>
          <w:rFonts w:ascii="Times New Roman" w:hAnsi="Times New Roman" w:cs="Times New Roman"/>
          <w:noProof/>
        </w:rPr>
        <w:tab/>
        <w:t xml:space="preserve">Plock N, Buerger C, Joukhadar C, Kljucar S, Kloft C. Does Linezolid Inhibit Its Own Metabolism? Population Pharmacokinetics As a Tool to Explain the Observed Nonlinearity in Both Healthy Volunteers and Septic Patients. Drug Metab Dispos </w:t>
      </w:r>
      <w:r w:rsidRPr="006A53E8">
        <w:rPr>
          <w:rFonts w:ascii="Times New Roman" w:hAnsi="Times New Roman" w:cs="Times New Roman"/>
          <w:b/>
          <w:bCs/>
          <w:noProof/>
        </w:rPr>
        <w:t>2007</w:t>
      </w:r>
      <w:r w:rsidRPr="006A53E8">
        <w:rPr>
          <w:rFonts w:ascii="Times New Roman" w:hAnsi="Times New Roman" w:cs="Times New Roman"/>
          <w:noProof/>
        </w:rPr>
        <w:t xml:space="preserve">; 35:1816–1823. </w:t>
      </w:r>
    </w:p>
    <w:p w14:paraId="4CEB2B3B"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9. </w:t>
      </w:r>
      <w:r w:rsidRPr="006A53E8">
        <w:rPr>
          <w:rFonts w:ascii="Times New Roman" w:hAnsi="Times New Roman" w:cs="Times New Roman"/>
          <w:noProof/>
        </w:rPr>
        <w:tab/>
        <w:t xml:space="preserve">Keel RA, Schaeftlein A, Kloft C, et al. Pharmacokinetics of intravenous and oral linezolid in adults with cystic fibrosis. Antimicrob Agents Chemother </w:t>
      </w:r>
      <w:r w:rsidRPr="006A53E8">
        <w:rPr>
          <w:rFonts w:ascii="Times New Roman" w:hAnsi="Times New Roman" w:cs="Times New Roman"/>
          <w:b/>
          <w:bCs/>
          <w:noProof/>
        </w:rPr>
        <w:t>2011</w:t>
      </w:r>
      <w:r w:rsidRPr="006A53E8">
        <w:rPr>
          <w:rFonts w:ascii="Times New Roman" w:hAnsi="Times New Roman" w:cs="Times New Roman"/>
          <w:noProof/>
        </w:rPr>
        <w:t xml:space="preserve">; 55:3393–8. </w:t>
      </w:r>
    </w:p>
    <w:p w14:paraId="74E64A0D"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10. </w:t>
      </w:r>
      <w:r w:rsidRPr="006A53E8">
        <w:rPr>
          <w:rFonts w:ascii="Times New Roman" w:hAnsi="Times New Roman" w:cs="Times New Roman"/>
          <w:noProof/>
        </w:rPr>
        <w:tab/>
        <w:t xml:space="preserve">Alghamdi WA, Al-Shaer MH, An G, et al. Population Pharmacokinetics of Linezolid in Tuberculosis Patients: Dosing Regimen Simulation and Target Attainment Analysis. Antimicrob Agents Chemother </w:t>
      </w:r>
      <w:r w:rsidRPr="006A53E8">
        <w:rPr>
          <w:rFonts w:ascii="Times New Roman" w:hAnsi="Times New Roman" w:cs="Times New Roman"/>
          <w:b/>
          <w:bCs/>
          <w:noProof/>
        </w:rPr>
        <w:t>2020</w:t>
      </w:r>
      <w:r w:rsidRPr="006A53E8">
        <w:rPr>
          <w:rFonts w:ascii="Times New Roman" w:hAnsi="Times New Roman" w:cs="Times New Roman"/>
          <w:noProof/>
        </w:rPr>
        <w:t xml:space="preserve">; 64:e01174-20. </w:t>
      </w:r>
    </w:p>
    <w:p w14:paraId="41B3C9D6"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11. </w:t>
      </w:r>
      <w:r w:rsidRPr="006A53E8">
        <w:rPr>
          <w:rFonts w:ascii="Times New Roman" w:hAnsi="Times New Roman" w:cs="Times New Roman"/>
          <w:noProof/>
        </w:rPr>
        <w:tab/>
        <w:t xml:space="preserve">Joerger M. Covariate Pharmacokinetic Model Building in Oncology and its Potential Clinical Relevance. AAPS J </w:t>
      </w:r>
      <w:r w:rsidRPr="006A53E8">
        <w:rPr>
          <w:rFonts w:ascii="Times New Roman" w:hAnsi="Times New Roman" w:cs="Times New Roman"/>
          <w:b/>
          <w:bCs/>
          <w:noProof/>
        </w:rPr>
        <w:t>2012</w:t>
      </w:r>
      <w:r w:rsidRPr="006A53E8">
        <w:rPr>
          <w:rFonts w:ascii="Times New Roman" w:hAnsi="Times New Roman" w:cs="Times New Roman"/>
          <w:noProof/>
        </w:rPr>
        <w:t xml:space="preserve">; 14:119. </w:t>
      </w:r>
    </w:p>
    <w:p w14:paraId="2952ECFD"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12. </w:t>
      </w:r>
      <w:r w:rsidRPr="006A53E8">
        <w:rPr>
          <w:rFonts w:ascii="Times New Roman" w:hAnsi="Times New Roman" w:cs="Times New Roman"/>
          <w:noProof/>
        </w:rPr>
        <w:tab/>
        <w:t xml:space="preserve">Zhang L, Beal SL, Sheiner LB. Simultaneous vs. Sequential Analysis for Population PK/PD Data I: Best-case Performance. J Pharmacokinet Pharmacodyn </w:t>
      </w:r>
      <w:r w:rsidRPr="006A53E8">
        <w:rPr>
          <w:rFonts w:ascii="Times New Roman" w:hAnsi="Times New Roman" w:cs="Times New Roman"/>
          <w:b/>
          <w:bCs/>
          <w:noProof/>
        </w:rPr>
        <w:t>2003</w:t>
      </w:r>
      <w:r w:rsidRPr="006A53E8">
        <w:rPr>
          <w:rFonts w:ascii="Times New Roman" w:hAnsi="Times New Roman" w:cs="Times New Roman"/>
          <w:noProof/>
        </w:rPr>
        <w:t xml:space="preserve">; 30:387–404. </w:t>
      </w:r>
    </w:p>
    <w:p w14:paraId="6D5A5C02"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13. </w:t>
      </w:r>
      <w:r w:rsidRPr="006A53E8">
        <w:rPr>
          <w:rFonts w:ascii="Times New Roman" w:hAnsi="Times New Roman" w:cs="Times New Roman"/>
          <w:noProof/>
        </w:rPr>
        <w:tab/>
        <w:t xml:space="preserve">Friberg LE, Henningsson A, Maas H, Nguyen L, Karlsson MO. Model of Chemotherapy-Induced Myelosuppression With Parameter Consistency Across Drugs. J Clin Oncol </w:t>
      </w:r>
      <w:r w:rsidRPr="006A53E8">
        <w:rPr>
          <w:rFonts w:ascii="Times New Roman" w:hAnsi="Times New Roman" w:cs="Times New Roman"/>
          <w:b/>
          <w:bCs/>
          <w:noProof/>
        </w:rPr>
        <w:t>2002</w:t>
      </w:r>
      <w:r w:rsidRPr="006A53E8">
        <w:rPr>
          <w:rFonts w:ascii="Times New Roman" w:hAnsi="Times New Roman" w:cs="Times New Roman"/>
          <w:noProof/>
        </w:rPr>
        <w:t xml:space="preserve">; 20:4713–4721. </w:t>
      </w:r>
    </w:p>
    <w:p w14:paraId="3E88981C"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14. </w:t>
      </w:r>
      <w:r w:rsidRPr="006A53E8">
        <w:rPr>
          <w:rFonts w:ascii="Times New Roman" w:hAnsi="Times New Roman" w:cs="Times New Roman"/>
          <w:noProof/>
        </w:rPr>
        <w:tab/>
        <w:t xml:space="preserve">Sharma A, Jusko WJ. Characteristics of indirect pharmacodynamic models and applications to clinical drug responses. Br J Clin Pharmacol </w:t>
      </w:r>
      <w:r w:rsidRPr="006A53E8">
        <w:rPr>
          <w:rFonts w:ascii="Times New Roman" w:hAnsi="Times New Roman" w:cs="Times New Roman"/>
          <w:b/>
          <w:bCs/>
          <w:noProof/>
        </w:rPr>
        <w:t>1998</w:t>
      </w:r>
      <w:r w:rsidRPr="006A53E8">
        <w:rPr>
          <w:rFonts w:ascii="Times New Roman" w:hAnsi="Times New Roman" w:cs="Times New Roman"/>
          <w:noProof/>
        </w:rPr>
        <w:t xml:space="preserve">; 45:229–39. </w:t>
      </w:r>
    </w:p>
    <w:p w14:paraId="19404CDB"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15. </w:t>
      </w:r>
      <w:r w:rsidRPr="006A53E8">
        <w:rPr>
          <w:rFonts w:ascii="Times New Roman" w:hAnsi="Times New Roman" w:cs="Times New Roman"/>
          <w:noProof/>
        </w:rPr>
        <w:tab/>
        <w:t xml:space="preserve">Minchella PA, Donkor S, Owolabi O, Sutherland JS, McDermid JM. Complex Anemia in Tuberculosis: The Need to Consider Causes and Timing When Designing Interventions. Clin Infect Dis </w:t>
      </w:r>
      <w:r w:rsidRPr="006A53E8">
        <w:rPr>
          <w:rFonts w:ascii="Times New Roman" w:hAnsi="Times New Roman" w:cs="Times New Roman"/>
          <w:b/>
          <w:bCs/>
          <w:noProof/>
        </w:rPr>
        <w:t>2015</w:t>
      </w:r>
      <w:r w:rsidRPr="006A53E8">
        <w:rPr>
          <w:rFonts w:ascii="Times New Roman" w:hAnsi="Times New Roman" w:cs="Times New Roman"/>
          <w:noProof/>
        </w:rPr>
        <w:t xml:space="preserve">; 60:764–772. </w:t>
      </w:r>
    </w:p>
    <w:p w14:paraId="52D12980"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16. </w:t>
      </w:r>
      <w:r w:rsidRPr="006A53E8">
        <w:rPr>
          <w:rFonts w:ascii="Times New Roman" w:hAnsi="Times New Roman" w:cs="Times New Roman"/>
          <w:noProof/>
        </w:rPr>
        <w:tab/>
        <w:t xml:space="preserve">Lee SW, Kang YA, Yoon YS, et al. The prevalence and evolution of anemia associated with tuberculosis. J Korean Med Sci </w:t>
      </w:r>
      <w:r w:rsidRPr="006A53E8">
        <w:rPr>
          <w:rFonts w:ascii="Times New Roman" w:hAnsi="Times New Roman" w:cs="Times New Roman"/>
          <w:b/>
          <w:bCs/>
          <w:noProof/>
        </w:rPr>
        <w:t>2006</w:t>
      </w:r>
      <w:r w:rsidRPr="006A53E8">
        <w:rPr>
          <w:rFonts w:ascii="Times New Roman" w:hAnsi="Times New Roman" w:cs="Times New Roman"/>
          <w:noProof/>
        </w:rPr>
        <w:t xml:space="preserve">; 21:1028–32. </w:t>
      </w:r>
    </w:p>
    <w:p w14:paraId="3D31F954"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17. </w:t>
      </w:r>
      <w:r w:rsidRPr="006A53E8">
        <w:rPr>
          <w:rFonts w:ascii="Times New Roman" w:hAnsi="Times New Roman" w:cs="Times New Roman"/>
          <w:noProof/>
        </w:rPr>
        <w:tab/>
        <w:t xml:space="preserve">Merle CS, Fielding K, Sow OB, et al. A Four-Month Gatifloxacin-Containing Regimen for Treating Tuberculosis. N Engl J Med </w:t>
      </w:r>
      <w:r w:rsidRPr="006A53E8">
        <w:rPr>
          <w:rFonts w:ascii="Times New Roman" w:hAnsi="Times New Roman" w:cs="Times New Roman"/>
          <w:b/>
          <w:bCs/>
          <w:noProof/>
        </w:rPr>
        <w:t>2014</w:t>
      </w:r>
      <w:r w:rsidRPr="006A53E8">
        <w:rPr>
          <w:rFonts w:ascii="Times New Roman" w:hAnsi="Times New Roman" w:cs="Times New Roman"/>
          <w:noProof/>
        </w:rPr>
        <w:t xml:space="preserve">; 371:1588–1598. </w:t>
      </w:r>
    </w:p>
    <w:p w14:paraId="4136DF96"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18. </w:t>
      </w:r>
      <w:r w:rsidRPr="006A53E8">
        <w:rPr>
          <w:rFonts w:ascii="Times New Roman" w:hAnsi="Times New Roman" w:cs="Times New Roman"/>
          <w:noProof/>
        </w:rPr>
        <w:tab/>
        <w:t xml:space="preserve">Gillespie SH, Crook AM, McHugh TD, et al. Four-Month Moxifloxacin-Based Regimens for Drug-Sensitive Tuberculosis. N Engl J Med </w:t>
      </w:r>
      <w:r w:rsidRPr="006A53E8">
        <w:rPr>
          <w:rFonts w:ascii="Times New Roman" w:hAnsi="Times New Roman" w:cs="Times New Roman"/>
          <w:b/>
          <w:bCs/>
          <w:noProof/>
        </w:rPr>
        <w:t>2014</w:t>
      </w:r>
      <w:r w:rsidRPr="006A53E8">
        <w:rPr>
          <w:rFonts w:ascii="Times New Roman" w:hAnsi="Times New Roman" w:cs="Times New Roman"/>
          <w:noProof/>
        </w:rPr>
        <w:t xml:space="preserve">; 371:1577–1587. </w:t>
      </w:r>
    </w:p>
    <w:p w14:paraId="712C4FB0"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19. </w:t>
      </w:r>
      <w:r w:rsidRPr="006A53E8">
        <w:rPr>
          <w:rFonts w:ascii="Times New Roman" w:hAnsi="Times New Roman" w:cs="Times New Roman"/>
          <w:noProof/>
        </w:rPr>
        <w:tab/>
        <w:t xml:space="preserve">Jindani A, Harrison TS, Nunn AJ, et al. High-Dose Rifapentine with Moxifloxacin for Pulmonary Tuberculosis. N Engl J Med </w:t>
      </w:r>
      <w:r w:rsidRPr="006A53E8">
        <w:rPr>
          <w:rFonts w:ascii="Times New Roman" w:hAnsi="Times New Roman" w:cs="Times New Roman"/>
          <w:b/>
          <w:bCs/>
          <w:noProof/>
        </w:rPr>
        <w:t>2014</w:t>
      </w:r>
      <w:r w:rsidRPr="006A53E8">
        <w:rPr>
          <w:rFonts w:ascii="Times New Roman" w:hAnsi="Times New Roman" w:cs="Times New Roman"/>
          <w:noProof/>
        </w:rPr>
        <w:t xml:space="preserve">; 371:1599–1608. </w:t>
      </w:r>
    </w:p>
    <w:p w14:paraId="4BF9F6BE"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lastRenderedPageBreak/>
        <w:t xml:space="preserve">20. </w:t>
      </w:r>
      <w:r w:rsidRPr="006A53E8">
        <w:rPr>
          <w:rFonts w:ascii="Times New Roman" w:hAnsi="Times New Roman" w:cs="Times New Roman"/>
          <w:noProof/>
        </w:rPr>
        <w:tab/>
        <w:t>NIAID DIVISION OF MICROBIOLOGY AND INFECTIOUS DISEASES (DMID) ADULT TOXICITY TABLE NOVEMBER 2007 DRAFT. Available at: https://www.niaid.nih.gov/sites/default/files/dmidadulttox.pdf.</w:t>
      </w:r>
    </w:p>
    <w:p w14:paraId="4F7BAEC4"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21. </w:t>
      </w:r>
      <w:r w:rsidRPr="006A53E8">
        <w:rPr>
          <w:rFonts w:ascii="Times New Roman" w:hAnsi="Times New Roman" w:cs="Times New Roman"/>
          <w:noProof/>
        </w:rPr>
        <w:tab/>
        <w:t xml:space="preserve">Bolhuis MS, Akkerman OW, Sturkenboom MGG, et al. Linezolid-based Regimens for Multidrug-resistant Tuberculosis (TB): A Systematic Review to Establish or Revise the Current Recommended Dose for TB Treatment. Clin Infect Dis </w:t>
      </w:r>
      <w:r w:rsidRPr="006A53E8">
        <w:rPr>
          <w:rFonts w:ascii="Times New Roman" w:hAnsi="Times New Roman" w:cs="Times New Roman"/>
          <w:b/>
          <w:bCs/>
          <w:noProof/>
        </w:rPr>
        <w:t>2018</w:t>
      </w:r>
      <w:r w:rsidRPr="006A53E8">
        <w:rPr>
          <w:rFonts w:ascii="Times New Roman" w:hAnsi="Times New Roman" w:cs="Times New Roman"/>
          <w:noProof/>
        </w:rPr>
        <w:t xml:space="preserve">; 67:S327–S335. </w:t>
      </w:r>
    </w:p>
    <w:p w14:paraId="56EC6394"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22. </w:t>
      </w:r>
      <w:r w:rsidRPr="006A53E8">
        <w:rPr>
          <w:rFonts w:ascii="Times New Roman" w:hAnsi="Times New Roman" w:cs="Times New Roman"/>
          <w:noProof/>
        </w:rPr>
        <w:tab/>
        <w:t xml:space="preserve">Diacon AH, De Jager VR, Dawson R, et al. Fourteen-day bactericidal activity, safety, and pharmacokinetics of linezolid in adults with drug-sensitive pulmonary tuberculosis. Antimicrob Agents Chemother </w:t>
      </w:r>
      <w:r w:rsidRPr="006A53E8">
        <w:rPr>
          <w:rFonts w:ascii="Times New Roman" w:hAnsi="Times New Roman" w:cs="Times New Roman"/>
          <w:b/>
          <w:bCs/>
          <w:noProof/>
        </w:rPr>
        <w:t>2020</w:t>
      </w:r>
      <w:r w:rsidRPr="006A53E8">
        <w:rPr>
          <w:rFonts w:ascii="Times New Roman" w:hAnsi="Times New Roman" w:cs="Times New Roman"/>
          <w:noProof/>
        </w:rPr>
        <w:t xml:space="preserve">; 64:e02012-19. </w:t>
      </w:r>
    </w:p>
    <w:p w14:paraId="45B4FE74"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23. </w:t>
      </w:r>
      <w:r w:rsidRPr="006A53E8">
        <w:rPr>
          <w:rFonts w:ascii="Times New Roman" w:hAnsi="Times New Roman" w:cs="Times New Roman"/>
          <w:noProof/>
        </w:rPr>
        <w:tab/>
        <w:t xml:space="preserve">Srivastava S, Magombedze G, Koeuth T, et al. Linezolid dose that maximizes sterilizing effect while minimizing toxicity and resistance emergence for tuberculosis. Antimicrob Agents Chemother </w:t>
      </w:r>
      <w:r w:rsidRPr="006A53E8">
        <w:rPr>
          <w:rFonts w:ascii="Times New Roman" w:hAnsi="Times New Roman" w:cs="Times New Roman"/>
          <w:b/>
          <w:bCs/>
          <w:noProof/>
        </w:rPr>
        <w:t>2017</w:t>
      </w:r>
      <w:r w:rsidRPr="006A53E8">
        <w:rPr>
          <w:rFonts w:ascii="Times New Roman" w:hAnsi="Times New Roman" w:cs="Times New Roman"/>
          <w:noProof/>
        </w:rPr>
        <w:t xml:space="preserve">; 61. </w:t>
      </w:r>
    </w:p>
    <w:p w14:paraId="4B92923D"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24. </w:t>
      </w:r>
      <w:r w:rsidRPr="006A53E8">
        <w:rPr>
          <w:rFonts w:ascii="Times New Roman" w:hAnsi="Times New Roman" w:cs="Times New Roman"/>
          <w:noProof/>
        </w:rPr>
        <w:tab/>
        <w:t xml:space="preserve">Tato M, de la Pedrosa EGG, Cantón R, et al. In vitro activity of linezolid against Mycobacterium tuberculosis complex, including multidrug-resistant Mycobacterium bovis isolates. Int J Antimicrob Agents </w:t>
      </w:r>
      <w:r w:rsidRPr="006A53E8">
        <w:rPr>
          <w:rFonts w:ascii="Times New Roman" w:hAnsi="Times New Roman" w:cs="Times New Roman"/>
          <w:b/>
          <w:bCs/>
          <w:noProof/>
        </w:rPr>
        <w:t>2006</w:t>
      </w:r>
      <w:r w:rsidRPr="006A53E8">
        <w:rPr>
          <w:rFonts w:ascii="Times New Roman" w:hAnsi="Times New Roman" w:cs="Times New Roman"/>
          <w:noProof/>
        </w:rPr>
        <w:t xml:space="preserve">; 28:75–78. </w:t>
      </w:r>
    </w:p>
    <w:p w14:paraId="51010FCA"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25. </w:t>
      </w:r>
      <w:r w:rsidRPr="006A53E8">
        <w:rPr>
          <w:rFonts w:ascii="Times New Roman" w:hAnsi="Times New Roman" w:cs="Times New Roman"/>
          <w:noProof/>
        </w:rPr>
        <w:tab/>
        <w:t xml:space="preserve">Yang C, Lei H, Wang D, et al. In vitro activity of linezolid against clinical isolates of Mycobacterium tuberculosis, including multidrug-resistant and extensively drug-resistant strains from Beijing, China. Jpn J Infect Dis </w:t>
      </w:r>
      <w:r w:rsidRPr="006A53E8">
        <w:rPr>
          <w:rFonts w:ascii="Times New Roman" w:hAnsi="Times New Roman" w:cs="Times New Roman"/>
          <w:b/>
          <w:bCs/>
          <w:noProof/>
        </w:rPr>
        <w:t>2012</w:t>
      </w:r>
      <w:r w:rsidRPr="006A53E8">
        <w:rPr>
          <w:rFonts w:ascii="Times New Roman" w:hAnsi="Times New Roman" w:cs="Times New Roman"/>
          <w:noProof/>
        </w:rPr>
        <w:t xml:space="preserve">; 65:240–242. </w:t>
      </w:r>
    </w:p>
    <w:p w14:paraId="30C7AC39"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26. </w:t>
      </w:r>
      <w:r w:rsidRPr="006A53E8">
        <w:rPr>
          <w:rFonts w:ascii="Times New Roman" w:hAnsi="Times New Roman" w:cs="Times New Roman"/>
          <w:noProof/>
        </w:rPr>
        <w:tab/>
        <w:t xml:space="preserve">Zong Z, Jing W, Shi J, et al. Comparison of In vitro activity and MIC distributions between the novel oxazolidinone delpazolid and linezolid against multidrug-resistant and extensively drug-resistant mycobacterium tuberculosis in China. Antimicrob Agents Chemother </w:t>
      </w:r>
      <w:r w:rsidRPr="006A53E8">
        <w:rPr>
          <w:rFonts w:ascii="Times New Roman" w:hAnsi="Times New Roman" w:cs="Times New Roman"/>
          <w:b/>
          <w:bCs/>
          <w:noProof/>
        </w:rPr>
        <w:t>2018</w:t>
      </w:r>
      <w:r w:rsidRPr="006A53E8">
        <w:rPr>
          <w:rFonts w:ascii="Times New Roman" w:hAnsi="Times New Roman" w:cs="Times New Roman"/>
          <w:noProof/>
        </w:rPr>
        <w:t xml:space="preserve">; 62. </w:t>
      </w:r>
    </w:p>
    <w:p w14:paraId="7726D980"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27. </w:t>
      </w:r>
      <w:r w:rsidRPr="006A53E8">
        <w:rPr>
          <w:rFonts w:ascii="Times New Roman" w:hAnsi="Times New Roman" w:cs="Times New Roman"/>
          <w:noProof/>
        </w:rPr>
        <w:tab/>
        <w:t xml:space="preserve">Lopez B, Siqueira de Oliveira R, Pinhata JMW, et al. Bedaquiline and linezolid MIC distributions and epidemiological cut-off values for Mycobacterium tuberculosis in the Latin American region. J Antimicrob Chemother </w:t>
      </w:r>
      <w:r w:rsidRPr="006A53E8">
        <w:rPr>
          <w:rFonts w:ascii="Times New Roman" w:hAnsi="Times New Roman" w:cs="Times New Roman"/>
          <w:b/>
          <w:bCs/>
          <w:noProof/>
        </w:rPr>
        <w:t>2019</w:t>
      </w:r>
      <w:r w:rsidRPr="006A53E8">
        <w:rPr>
          <w:rFonts w:ascii="Times New Roman" w:hAnsi="Times New Roman" w:cs="Times New Roman"/>
          <w:noProof/>
        </w:rPr>
        <w:t xml:space="preserve">; 74:373–379. </w:t>
      </w:r>
    </w:p>
    <w:p w14:paraId="2872F8B1"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28. </w:t>
      </w:r>
      <w:r w:rsidRPr="006A53E8">
        <w:rPr>
          <w:rFonts w:ascii="Times New Roman" w:hAnsi="Times New Roman" w:cs="Times New Roman"/>
          <w:noProof/>
        </w:rPr>
        <w:tab/>
        <w:t>Pfizer Pharmaceuticals. ZYVOX (linezolid) [Package label]. 2000. Available at: https://www.accessdata.fda.gov/drugsatfda_docs/label/2014/021130s032,021131s026,021132s031lbl.pdf.</w:t>
      </w:r>
    </w:p>
    <w:p w14:paraId="5DBB5512" w14:textId="77777777" w:rsidR="006A53E8" w:rsidRPr="006A53E8" w:rsidRDefault="006A53E8" w:rsidP="006A53E8">
      <w:pPr>
        <w:widowControl w:val="0"/>
        <w:autoSpaceDE w:val="0"/>
        <w:autoSpaceDN w:val="0"/>
        <w:adjustRightInd w:val="0"/>
        <w:ind w:left="640" w:hanging="640"/>
        <w:rPr>
          <w:rFonts w:ascii="Times New Roman" w:hAnsi="Times New Roman" w:cs="Times New Roman"/>
          <w:noProof/>
        </w:rPr>
      </w:pPr>
      <w:r w:rsidRPr="006A53E8">
        <w:rPr>
          <w:rFonts w:ascii="Times New Roman" w:hAnsi="Times New Roman" w:cs="Times New Roman"/>
          <w:noProof/>
        </w:rPr>
        <w:t xml:space="preserve">29. </w:t>
      </w:r>
      <w:r w:rsidRPr="006A53E8">
        <w:rPr>
          <w:rFonts w:ascii="Times New Roman" w:hAnsi="Times New Roman" w:cs="Times New Roman"/>
          <w:noProof/>
        </w:rPr>
        <w:tab/>
        <w:t xml:space="preserve">Conradie F, Everitt D, Olugbosi M, et al. High rate of successful outcomes treating highly resistant TB in the ZeNix study of pretomanid, bedaquiline and alternative doses and durations of linezolid. In: International AIDS Society Conferences 2021 Abstract Book. Berlin, Germany: 2021: 406. </w:t>
      </w:r>
    </w:p>
    <w:p w14:paraId="6E89AAE2" w14:textId="25395F0E" w:rsidR="009D1D96" w:rsidRPr="00014EF4" w:rsidRDefault="004E0575" w:rsidP="006A53E8">
      <w:pPr>
        <w:widowControl w:val="0"/>
        <w:autoSpaceDE w:val="0"/>
        <w:autoSpaceDN w:val="0"/>
        <w:adjustRightInd w:val="0"/>
        <w:ind w:left="640" w:hanging="640"/>
        <w:rPr>
          <w:rFonts w:ascii="Times New Roman" w:hAnsi="Times New Roman" w:cs="Times New Roman"/>
          <w:b/>
        </w:rPr>
      </w:pPr>
      <w:r w:rsidRPr="00014EF4">
        <w:rPr>
          <w:rFonts w:ascii="Times New Roman" w:hAnsi="Times New Roman" w:cs="Times New Roman"/>
          <w:b/>
        </w:rPr>
        <w:fldChar w:fldCharType="end"/>
      </w:r>
      <w:r w:rsidR="009D1D96" w:rsidRPr="00014EF4">
        <w:rPr>
          <w:rFonts w:ascii="Times New Roman" w:hAnsi="Times New Roman" w:cs="Times New Roman"/>
          <w:b/>
        </w:rPr>
        <w:br w:type="page"/>
      </w:r>
    </w:p>
    <w:p w14:paraId="416C8441" w14:textId="075F4FEB" w:rsidR="00A67BF3" w:rsidRPr="006941F2" w:rsidRDefault="00A67BF3" w:rsidP="006941F2">
      <w:pPr>
        <w:pStyle w:val="Heading1"/>
        <w:rPr>
          <w:rFonts w:ascii="Times New Roman" w:hAnsi="Times New Roman" w:cs="Times New Roman"/>
          <w:b/>
          <w:color w:val="auto"/>
          <w:sz w:val="28"/>
          <w:szCs w:val="28"/>
        </w:rPr>
      </w:pPr>
      <w:r w:rsidRPr="006941F2">
        <w:rPr>
          <w:rFonts w:ascii="Times New Roman" w:hAnsi="Times New Roman" w:cs="Times New Roman"/>
          <w:b/>
          <w:color w:val="auto"/>
          <w:sz w:val="28"/>
          <w:szCs w:val="28"/>
        </w:rPr>
        <w:lastRenderedPageBreak/>
        <w:t xml:space="preserve">SUPPLEMENTAL TABLES </w:t>
      </w:r>
    </w:p>
    <w:p w14:paraId="7B1A9B1C" w14:textId="2FF5AE4B" w:rsidR="00A67BF3" w:rsidRPr="00014EF4" w:rsidRDefault="00990105" w:rsidP="00386B99">
      <w:pPr>
        <w:pStyle w:val="captions"/>
        <w:rPr>
          <w:rFonts w:eastAsiaTheme="minorHAnsi" w:cs="Times New Roman"/>
          <w:b w:val="0"/>
          <w:i w:val="0"/>
          <w:iCs w:val="0"/>
          <w:color w:val="auto"/>
          <w:sz w:val="24"/>
          <w:szCs w:val="24"/>
        </w:rPr>
      </w:pPr>
      <w:r w:rsidRPr="006941F2">
        <w:rPr>
          <w:rStyle w:val="Heading2Char"/>
          <w:rFonts w:ascii="Times New Roman" w:hAnsi="Times New Roman" w:cs="Times New Roman"/>
          <w:i w:val="0"/>
          <w:color w:val="auto"/>
          <w:sz w:val="24"/>
          <w:szCs w:val="24"/>
        </w:rPr>
        <w:t xml:space="preserve">Supplemental </w:t>
      </w:r>
      <w:r w:rsidR="004671B8" w:rsidRPr="006941F2">
        <w:rPr>
          <w:rStyle w:val="Heading2Char"/>
          <w:rFonts w:ascii="Times New Roman" w:hAnsi="Times New Roman" w:cs="Times New Roman"/>
          <w:i w:val="0"/>
          <w:color w:val="auto"/>
          <w:sz w:val="24"/>
          <w:szCs w:val="24"/>
        </w:rPr>
        <w:t xml:space="preserve">Table </w:t>
      </w:r>
      <w:r w:rsidRPr="006941F2">
        <w:rPr>
          <w:rStyle w:val="Heading2Char"/>
          <w:rFonts w:ascii="Times New Roman" w:hAnsi="Times New Roman" w:cs="Times New Roman"/>
          <w:i w:val="0"/>
          <w:color w:val="auto"/>
          <w:sz w:val="24"/>
          <w:szCs w:val="24"/>
        </w:rPr>
        <w:t>1</w:t>
      </w:r>
      <w:r w:rsidR="00A67BF3" w:rsidRPr="006941F2">
        <w:rPr>
          <w:rFonts w:eastAsiaTheme="minorHAnsi" w:cs="Times New Roman"/>
          <w:b w:val="0"/>
          <w:i w:val="0"/>
          <w:iCs w:val="0"/>
          <w:color w:val="auto"/>
          <w:sz w:val="24"/>
          <w:szCs w:val="24"/>
        </w:rPr>
        <w:t xml:space="preserve"> </w:t>
      </w:r>
      <w:r w:rsidR="00A67BF3" w:rsidRPr="00014EF4">
        <w:rPr>
          <w:rFonts w:eastAsiaTheme="minorHAnsi" w:cs="Times New Roman"/>
          <w:b w:val="0"/>
          <w:i w:val="0"/>
          <w:iCs w:val="0"/>
          <w:color w:val="auto"/>
          <w:sz w:val="24"/>
          <w:szCs w:val="24"/>
        </w:rPr>
        <w:t>Differential equations that describe the final PK model</w:t>
      </w:r>
    </w:p>
    <w:tbl>
      <w:tblPr>
        <w:tblStyle w:val="TableGrid"/>
        <w:tblW w:w="0" w:type="auto"/>
        <w:tblLook w:val="04A0" w:firstRow="1" w:lastRow="0" w:firstColumn="1" w:lastColumn="0" w:noHBand="0" w:noVBand="1"/>
      </w:tblPr>
      <w:tblGrid>
        <w:gridCol w:w="3325"/>
        <w:gridCol w:w="6025"/>
      </w:tblGrid>
      <w:tr w:rsidR="00A67BF3" w:rsidRPr="00014EF4" w14:paraId="2F321290" w14:textId="77777777" w:rsidTr="00E45606">
        <w:tc>
          <w:tcPr>
            <w:tcW w:w="3325" w:type="dxa"/>
          </w:tcPr>
          <w:p w14:paraId="46BD77C9"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Absorption compartment (A)</w:t>
            </w:r>
          </w:p>
        </w:tc>
        <w:tc>
          <w:tcPr>
            <w:tcW w:w="6025" w:type="dxa"/>
          </w:tcPr>
          <w:p w14:paraId="6DA9222C" w14:textId="77777777" w:rsidR="00A67BF3" w:rsidRPr="00014EF4" w:rsidRDefault="00E90ACF" w:rsidP="00386B99">
            <w:pPr>
              <w:tabs>
                <w:tab w:val="left" w:pos="5670"/>
              </w:tabs>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m:t>
                    </m:r>
                    <m:r>
                      <m:rPr>
                        <m:sty m:val="p"/>
                      </m:rPr>
                      <w:rPr>
                        <w:rFonts w:ascii="Cambria Math" w:hAnsi="Cambria Math" w:cs="Times New Roman"/>
                      </w:rPr>
                      <m:t>A</m:t>
                    </m:r>
                  </m:num>
                  <m:den>
                    <m: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k</m:t>
                    </m:r>
                  </m:e>
                  <m:sub>
                    <m:r>
                      <w:rPr>
                        <w:rFonts w:ascii="Cambria Math" w:hAnsi="Cambria Math" w:cs="Times New Roman"/>
                      </w:rPr>
                      <m:t>a</m:t>
                    </m:r>
                  </m:sub>
                </m:sSub>
                <m:r>
                  <m:rPr>
                    <m:sty m:val="p"/>
                  </m:rPr>
                  <w:rPr>
                    <w:rFonts w:ascii="Cambria Math" w:hAnsi="Cambria Math" w:cs="Times New Roman"/>
                  </w:rPr>
                  <m:t>A</m:t>
                </m:r>
              </m:oMath>
            </m:oMathPara>
          </w:p>
          <w:p w14:paraId="0C90EF1E" w14:textId="77777777" w:rsidR="00A67BF3" w:rsidRPr="00014EF4" w:rsidRDefault="00A67BF3" w:rsidP="00386B99">
            <w:pPr>
              <w:rPr>
                <w:rFonts w:ascii="Times New Roman" w:hAnsi="Times New Roman" w:cs="Times New Roman"/>
              </w:rPr>
            </w:pPr>
          </w:p>
        </w:tc>
      </w:tr>
      <w:tr w:rsidR="00A67BF3" w:rsidRPr="00014EF4" w14:paraId="182B6E6A" w14:textId="77777777" w:rsidTr="00E45606">
        <w:tc>
          <w:tcPr>
            <w:tcW w:w="3325" w:type="dxa"/>
          </w:tcPr>
          <w:p w14:paraId="2EFEEEC9"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Central compartment (A</w:t>
            </w:r>
            <w:r w:rsidRPr="00014EF4">
              <w:rPr>
                <w:rFonts w:ascii="Times New Roman" w:hAnsi="Times New Roman" w:cs="Times New Roman"/>
                <w:vertAlign w:val="subscript"/>
              </w:rPr>
              <w:t>c</w:t>
            </w:r>
            <w:r w:rsidRPr="00014EF4">
              <w:rPr>
                <w:rFonts w:ascii="Times New Roman" w:hAnsi="Times New Roman" w:cs="Times New Roman"/>
              </w:rPr>
              <w:t>)</w:t>
            </w:r>
          </w:p>
        </w:tc>
        <w:tc>
          <w:tcPr>
            <w:tcW w:w="6025" w:type="dxa"/>
          </w:tcPr>
          <w:p w14:paraId="051B7202" w14:textId="77777777" w:rsidR="00A67BF3" w:rsidRPr="00014EF4" w:rsidRDefault="00E90ACF" w:rsidP="00393591">
            <w:pPr>
              <w:tabs>
                <w:tab w:val="left" w:pos="5670"/>
              </w:tabs>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num>
                  <m:den>
                    <m:r>
                      <w:rPr>
                        <w:rFonts w:ascii="Cambria Math" w:hAnsi="Cambria Math" w:cs="Times New Roman"/>
                      </w:rPr>
                      <m:t>dt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r>
                  <m:rPr>
                    <m:sty m:val="p"/>
                  </m:rPr>
                  <w:rPr>
                    <w:rFonts w:ascii="Cambria Math" w:hAnsi="Cambria Math" w:cs="Times New Roman"/>
                  </w:rPr>
                  <m:t>A-</m:t>
                </m:r>
                <m:f>
                  <m:fPr>
                    <m:type m:val="skw"/>
                    <m:ctrlPr>
                      <w:rPr>
                        <w:rFonts w:ascii="Cambria Math" w:hAnsi="Cambria Math" w:cs="Times New Roman"/>
                      </w:rPr>
                    </m:ctrlPr>
                  </m:fPr>
                  <m:num>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MAX</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num>
                      <m:den>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den>
                    </m:f>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den>
                </m:f>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den>
                </m:f>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m:oMathPara>
          </w:p>
          <w:p w14:paraId="08F17A2A" w14:textId="77777777" w:rsidR="00A67BF3" w:rsidRPr="00014EF4" w:rsidRDefault="00A67BF3" w:rsidP="00386B99">
            <w:pPr>
              <w:tabs>
                <w:tab w:val="left" w:pos="5670"/>
              </w:tabs>
              <w:jc w:val="both"/>
              <w:rPr>
                <w:rFonts w:ascii="Times New Roman" w:hAnsi="Times New Roman" w:cs="Times New Roman"/>
              </w:rPr>
            </w:pPr>
          </w:p>
          <w:p w14:paraId="32E86304" w14:textId="77777777" w:rsidR="00A67BF3" w:rsidRPr="00014EF4" w:rsidRDefault="00E90ACF" w:rsidP="00386B99">
            <w:pPr>
              <w:tabs>
                <w:tab w:val="left" w:pos="5670"/>
              </w:tabs>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MAX</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m:oMathPara>
          </w:p>
        </w:tc>
      </w:tr>
      <w:tr w:rsidR="00A67BF3" w:rsidRPr="00014EF4" w14:paraId="36F88839" w14:textId="77777777" w:rsidTr="00E45606">
        <w:tc>
          <w:tcPr>
            <w:tcW w:w="3325" w:type="dxa"/>
          </w:tcPr>
          <w:p w14:paraId="5537A9CE"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Peripheral compartment (A</w:t>
            </w:r>
            <w:r w:rsidRPr="00014EF4">
              <w:rPr>
                <w:rFonts w:ascii="Times New Roman" w:hAnsi="Times New Roman" w:cs="Times New Roman"/>
                <w:vertAlign w:val="subscript"/>
              </w:rPr>
              <w:t>p</w:t>
            </w:r>
            <w:r w:rsidRPr="00014EF4">
              <w:rPr>
                <w:rFonts w:ascii="Times New Roman" w:hAnsi="Times New Roman" w:cs="Times New Roman"/>
              </w:rPr>
              <w:t>)</w:t>
            </w:r>
          </w:p>
        </w:tc>
        <w:tc>
          <w:tcPr>
            <w:tcW w:w="6025" w:type="dxa"/>
          </w:tcPr>
          <w:p w14:paraId="537A20BF" w14:textId="77777777" w:rsidR="00A67BF3" w:rsidRPr="00014EF4" w:rsidRDefault="00E90ACF" w:rsidP="00393591">
            <w:pPr>
              <w:tabs>
                <w:tab w:val="left" w:pos="5670"/>
              </w:tabs>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p</m:t>
                        </m:r>
                      </m:sub>
                    </m:sSub>
                  </m:num>
                  <m:den>
                    <m:r>
                      <w:rPr>
                        <w:rFonts w:ascii="Cambria Math" w:hAnsi="Cambria Math" w:cs="Times New Roman"/>
                      </w:rPr>
                      <m:t>dt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den>
                </m:f>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den>
                </m:f>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m:oMathPara>
          </w:p>
          <w:p w14:paraId="0F472238" w14:textId="77777777" w:rsidR="00A67BF3" w:rsidRPr="00014EF4" w:rsidRDefault="00A67BF3" w:rsidP="00386B99">
            <w:pPr>
              <w:rPr>
                <w:rFonts w:ascii="Times New Roman" w:hAnsi="Times New Roman" w:cs="Times New Roman"/>
              </w:rPr>
            </w:pPr>
          </w:p>
        </w:tc>
      </w:tr>
    </w:tbl>
    <w:p w14:paraId="778ED04A" w14:textId="77777777" w:rsidR="00A67BF3" w:rsidRPr="00014EF4" w:rsidRDefault="00A67BF3" w:rsidP="00393591">
      <w:pPr>
        <w:rPr>
          <w:rFonts w:ascii="Times New Roman" w:hAnsi="Times New Roman" w:cs="Times New Roman"/>
        </w:rPr>
      </w:pPr>
      <w:bookmarkStart w:id="0" w:name="_Ref534748340"/>
    </w:p>
    <w:p w14:paraId="3CD9A211" w14:textId="77777777" w:rsidR="00A67BF3" w:rsidRPr="00014EF4" w:rsidRDefault="00A67BF3" w:rsidP="00393591">
      <w:pPr>
        <w:rPr>
          <w:rFonts w:ascii="Times New Roman" w:hAnsi="Times New Roman" w:cs="Times New Roman"/>
        </w:rPr>
      </w:pPr>
      <m:oMath>
        <m:r>
          <m:rPr>
            <m:sty m:val="p"/>
          </m:rPr>
          <w:rPr>
            <w:rFonts w:ascii="Cambria Math" w:hAnsi="Cambria Math" w:cs="Times New Roman"/>
          </w:rPr>
          <m:t>A</m:t>
        </m:r>
      </m:oMath>
      <w:r w:rsidRPr="00014E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014E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p</m:t>
            </m:r>
          </m:sub>
        </m:sSub>
      </m:oMath>
      <w:r w:rsidRPr="00014EF4">
        <w:rPr>
          <w:rFonts w:ascii="Times New Roman" w:hAnsi="Times New Roman" w:cs="Times New Roman"/>
        </w:rPr>
        <w:t>, amounts in absorption, central, and peripheral compartments;</w:t>
      </w:r>
    </w:p>
    <w:p w14:paraId="12621F81" w14:textId="77777777" w:rsidR="001345F6" w:rsidRPr="00014EF4" w:rsidRDefault="00E90ACF" w:rsidP="00386B99">
      <w:pPr>
        <w:rPr>
          <w:rFonts w:ascii="Times New Roman" w:eastAsiaTheme="minorEastAsia" w:hAnsi="Times New Roman" w:cs="Times New Roman"/>
          <w:color w:val="000000"/>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oMath>
      <w:r w:rsidR="00A67BF3" w:rsidRPr="00014EF4">
        <w:rPr>
          <w:rFonts w:ascii="Times New Roman" w:eastAsiaTheme="minorEastAsia" w:hAnsi="Times New Roman" w:cs="Times New Roman"/>
          <w:color w:val="000000"/>
        </w:rPr>
        <w:t xml:space="preserve">, concentration of linezolid in central compartment (plasma), which equals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00A67BF3" w:rsidRPr="00014EF4">
        <w:rPr>
          <w:rFonts w:ascii="Times New Roman" w:eastAsiaTheme="minorEastAsia" w:hAnsi="Times New Roman" w:cs="Times New Roman"/>
        </w:rPr>
        <w:t>/</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oMath>
      <w:r w:rsidR="001345F6" w:rsidRPr="00014EF4">
        <w:rPr>
          <w:rFonts w:ascii="Times New Roman" w:eastAsiaTheme="minorEastAsia" w:hAnsi="Times New Roman" w:cs="Times New Roman"/>
          <w:color w:val="000000"/>
        </w:rPr>
        <w:t xml:space="preserve">; </w:t>
      </w:r>
    </w:p>
    <w:p w14:paraId="042B3155" w14:textId="2E823241" w:rsidR="00A67BF3" w:rsidRPr="00014EF4" w:rsidRDefault="00A67BF3" w:rsidP="00386B99">
      <w:pPr>
        <w:rPr>
          <w:rFonts w:ascii="Times New Roman" w:eastAsiaTheme="minorEastAsia" w:hAnsi="Times New Roman" w:cs="Times New Roman"/>
          <w:color w:val="000000"/>
        </w:rPr>
      </w:pPr>
      <w:r w:rsidRPr="00014EF4">
        <w:rPr>
          <w:rFonts w:ascii="Times New Roman" w:eastAsiaTheme="minorEastAsia" w:hAnsi="Times New Roman" w:cs="Times New Roman"/>
          <w:color w:val="000000"/>
        </w:rPr>
        <w:t xml:space="preserve"> </w:t>
      </w:r>
      <m:oMath>
        <m:r>
          <w:rPr>
            <w:rFonts w:ascii="Cambria Math" w:hAnsi="Cambria Math" w:cs="Times New Roman"/>
          </w:rPr>
          <m:t>t</m:t>
        </m:r>
      </m:oMath>
      <w:r w:rsidR="001345F6" w:rsidRPr="00014EF4">
        <w:rPr>
          <w:rFonts w:ascii="Times New Roman" w:eastAsiaTheme="minorEastAsia" w:hAnsi="Times New Roman" w:cs="Times New Roman"/>
        </w:rPr>
        <w:t xml:space="preserve">, time after treatment initiation. </w:t>
      </w:r>
    </w:p>
    <w:p w14:paraId="0810447A" w14:textId="77777777" w:rsidR="00A67BF3" w:rsidRPr="00014EF4" w:rsidRDefault="00A67BF3" w:rsidP="00386B99">
      <w:pPr>
        <w:rPr>
          <w:rFonts w:ascii="Times New Roman" w:eastAsiaTheme="minorEastAsia" w:hAnsi="Times New Roman" w:cs="Times New Roman"/>
          <w:color w:val="000000"/>
        </w:rPr>
      </w:pPr>
      <w:r w:rsidRPr="00014EF4">
        <w:rPr>
          <w:rFonts w:ascii="Times New Roman" w:eastAsiaTheme="minorEastAsia" w:hAnsi="Times New Roman" w:cs="Times New Roman"/>
          <w:color w:val="000000"/>
        </w:rPr>
        <w:t xml:space="preserve"> </w:t>
      </w:r>
    </w:p>
    <w:p w14:paraId="731FB171" w14:textId="77777777" w:rsidR="00A67BF3" w:rsidRPr="00014EF4" w:rsidRDefault="00E90ACF" w:rsidP="00386B99">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oMath>
      <w:r w:rsidR="00A67BF3" w:rsidRPr="00014EF4">
        <w:rPr>
          <w:rFonts w:ascii="Times New Roman" w:hAnsi="Times New Roman" w:cs="Times New Roman"/>
        </w:rPr>
        <w:t xml:space="preserve">, Michaelis-Menten intrinsic clearance; </w:t>
      </w:r>
    </w:p>
    <w:p w14:paraId="21E733F0" w14:textId="77777777" w:rsidR="00A67BF3" w:rsidRPr="00014EF4" w:rsidRDefault="00E90ACF" w:rsidP="00386B99">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oMath>
      <w:r w:rsidR="00A67BF3" w:rsidRPr="00014EF4">
        <w:rPr>
          <w:rFonts w:ascii="Times New Roman" w:hAnsi="Times New Roman" w:cs="Times New Roman"/>
        </w:rPr>
        <w:t xml:space="preserve">, absorption rate constant; </w:t>
      </w:r>
    </w:p>
    <w:p w14:paraId="3DC049A4" w14:textId="77777777" w:rsidR="00A67BF3" w:rsidRPr="00014EF4" w:rsidRDefault="00E90ACF" w:rsidP="00386B99">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00A67BF3" w:rsidRPr="00014EF4">
        <w:rPr>
          <w:rFonts w:ascii="Times New Roman" w:hAnsi="Times New Roman" w:cs="Times New Roman"/>
        </w:rPr>
        <w:t xml:space="preserve">, Michaelis-Menten constant; </w:t>
      </w:r>
    </w:p>
    <w:p w14:paraId="14D5EF0C" w14:textId="77777777" w:rsidR="00A67BF3" w:rsidRPr="00014EF4" w:rsidRDefault="00A67BF3" w:rsidP="00386B99">
      <w:pPr>
        <w:rPr>
          <w:rFonts w:ascii="Times New Roman" w:hAnsi="Times New Roman" w:cs="Times New Roman"/>
        </w:rPr>
      </w:pPr>
      <m:oMath>
        <m:r>
          <w:rPr>
            <w:rFonts w:ascii="Cambria Math" w:hAnsi="Cambria Math" w:cs="Times New Roman"/>
          </w:rPr>
          <m:t>Q</m:t>
        </m:r>
      </m:oMath>
      <w:r w:rsidRPr="00014EF4">
        <w:rPr>
          <w:rFonts w:ascii="Times New Roman" w:hAnsi="Times New Roman" w:cs="Times New Roman"/>
        </w:rPr>
        <w:t xml:space="preserve">, apparent intercompartment clearance; </w:t>
      </w:r>
    </w:p>
    <w:p w14:paraId="6E406A5C" w14:textId="77777777" w:rsidR="00A67BF3" w:rsidRPr="00014EF4" w:rsidRDefault="00E90ACF" w:rsidP="00386B99">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oMath>
      <w:r w:rsidR="00A67BF3" w:rsidRPr="00014EF4">
        <w:rPr>
          <w:rFonts w:ascii="Times New Roman" w:hAnsi="Times New Roman" w:cs="Times New Roman"/>
        </w:rPr>
        <w:t xml:space="preserve">, apparent central volume of distribution; </w:t>
      </w:r>
    </w:p>
    <w:p w14:paraId="383D44CE" w14:textId="77777777" w:rsidR="00A67BF3" w:rsidRPr="00014EF4" w:rsidRDefault="00E90ACF" w:rsidP="00386B99">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oMath>
      <w:r w:rsidR="00A67BF3" w:rsidRPr="00014EF4">
        <w:rPr>
          <w:rFonts w:ascii="Times New Roman" w:hAnsi="Times New Roman" w:cs="Times New Roman"/>
        </w:rPr>
        <w:t xml:space="preserve">, apparent peripheral volume of distribution; </w:t>
      </w:r>
    </w:p>
    <w:p w14:paraId="21857691" w14:textId="77777777" w:rsidR="00A67BF3" w:rsidRPr="00014EF4" w:rsidRDefault="00E90ACF" w:rsidP="00386B99">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MAX</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00A67BF3" w:rsidRPr="00014EF4">
        <w:rPr>
          <w:rFonts w:ascii="Times New Roman" w:hAnsi="Times New Roman" w:cs="Times New Roman"/>
        </w:rPr>
        <w:t xml:space="preserve">, maximum rate of elimination (saturated elimination). </w:t>
      </w:r>
    </w:p>
    <w:p w14:paraId="18226974" w14:textId="77777777" w:rsidR="00A67BF3" w:rsidRPr="00014EF4" w:rsidRDefault="00A67BF3" w:rsidP="00386B99">
      <w:pPr>
        <w:rPr>
          <w:rFonts w:ascii="Times New Roman" w:hAnsi="Times New Roman" w:cs="Times New Roman"/>
        </w:rPr>
      </w:pPr>
    </w:p>
    <w:p w14:paraId="7B343345" w14:textId="41449618" w:rsidR="00A67BF3" w:rsidRPr="00014EF4" w:rsidRDefault="00A67BF3" w:rsidP="00386B99">
      <w:pPr>
        <w:rPr>
          <w:rFonts w:ascii="Times New Roman" w:eastAsiaTheme="minorEastAsia" w:hAnsi="Times New Roman" w:cs="Times New Roman"/>
        </w:rPr>
      </w:pPr>
      <w:r w:rsidRPr="00014EF4">
        <w:rPr>
          <w:rFonts w:ascii="Times New Roman" w:hAnsi="Times New Roman" w:cs="Times New Roman"/>
        </w:rPr>
        <w:t xml:space="preserve">Log-normal interindividual variability was tested on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oMath>
      <w:r w:rsidRPr="00014E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Pr="00014E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oMath>
      <w:r w:rsidRPr="00014EF4">
        <w:rPr>
          <w:rFonts w:ascii="Times New Roman" w:hAnsi="Times New Roman" w:cs="Times New Roman"/>
        </w:rPr>
        <w:t>, and</w:t>
      </w:r>
      <w:r w:rsidRPr="00014EF4">
        <w:rPr>
          <w:rFonts w:ascii="Times New Roman" w:hAnsi="Times New Roman" w:cs="Times New Roman"/>
          <w:vertAlign w:val="subscript"/>
        </w:rPr>
        <w:t xml:space="preserve"> </w:t>
      </w:r>
      <w:r w:rsidRPr="00014E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oMath>
      <w:r w:rsidRPr="00014EF4">
        <w:rPr>
          <w:rFonts w:ascii="Times New Roman" w:eastAsiaTheme="minorEastAsia" w:hAnsi="Times New Roman" w:cs="Times New Roman"/>
        </w:rPr>
        <w:t xml:space="preserve">. </w:t>
      </w:r>
      <w:r w:rsidRPr="00014EF4">
        <w:rPr>
          <w:rFonts w:ascii="Times New Roman" w:hAnsi="Times New Roman" w:cs="Times New Roman"/>
        </w:rPr>
        <w:t xml:space="preserve">The following equation was used: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i </m:t>
            </m:r>
          </m:sub>
        </m:sSub>
        <m:r>
          <w:rPr>
            <w:rFonts w:ascii="Cambria Math" w:hAnsi="Cambria Math" w:cs="Times New Roman"/>
          </w:rPr>
          <m:t>=TVPexp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e>
        </m:d>
      </m:oMath>
      <w:r w:rsidRPr="00014EF4">
        <w:rPr>
          <w:rFonts w:ascii="Times New Roman" w:eastAsiaTheme="minorEastAsia" w:hAnsi="Times New Roman" w:cs="Times New Roman"/>
        </w:rPr>
        <w:t xml:space="preserve"> where: </w:t>
      </w:r>
    </w:p>
    <w:p w14:paraId="1C9FDDBF"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i </m:t>
            </m:r>
          </m:sub>
        </m:sSub>
      </m:oMath>
      <w:r w:rsidR="00A67BF3" w:rsidRPr="00014EF4">
        <w:rPr>
          <w:rFonts w:ascii="Times New Roman" w:eastAsiaTheme="minorEastAsia" w:hAnsi="Times New Roman" w:cs="Times New Roman"/>
        </w:rPr>
        <w:t xml:space="preserve"> is the estimated parameter for individual, </w:t>
      </w:r>
      <m:oMath>
        <m:r>
          <w:rPr>
            <w:rFonts w:ascii="Cambria Math" w:hAnsi="Cambria Math" w:cs="Times New Roman"/>
          </w:rPr>
          <m:t>i</m:t>
        </m:r>
      </m:oMath>
      <w:r w:rsidR="00A67BF3" w:rsidRPr="00014EF4">
        <w:rPr>
          <w:rFonts w:ascii="Times New Roman" w:eastAsiaTheme="minorEastAsia" w:hAnsi="Times New Roman" w:cs="Times New Roman"/>
        </w:rPr>
        <w:t xml:space="preserve">; </w:t>
      </w:r>
    </w:p>
    <w:p w14:paraId="3C0AAFA5" w14:textId="26A309FB" w:rsidR="00A67BF3" w:rsidRPr="00014EF4" w:rsidRDefault="00A67BF3" w:rsidP="00386B99">
      <w:pPr>
        <w:ind w:left="288"/>
        <w:rPr>
          <w:rFonts w:ascii="Times New Roman" w:eastAsiaTheme="minorEastAsia" w:hAnsi="Times New Roman" w:cs="Times New Roman"/>
        </w:rPr>
      </w:pPr>
      <m:oMath>
        <m:r>
          <w:rPr>
            <w:rFonts w:ascii="Cambria Math" w:hAnsi="Cambria Math" w:cs="Times New Roman"/>
          </w:rPr>
          <m:t>TVP</m:t>
        </m:r>
      </m:oMath>
      <w:r w:rsidRPr="00014EF4">
        <w:rPr>
          <w:rFonts w:ascii="Times New Roman" w:eastAsiaTheme="minorEastAsia" w:hAnsi="Times New Roman" w:cs="Times New Roman"/>
        </w:rPr>
        <w:t xml:space="preserve"> is the </w:t>
      </w:r>
      <w:r w:rsidR="000B5A0C" w:rsidRPr="00014EF4">
        <w:rPr>
          <w:rFonts w:ascii="Times New Roman" w:eastAsiaTheme="minorEastAsia" w:hAnsi="Times New Roman" w:cs="Times New Roman"/>
        </w:rPr>
        <w:t xml:space="preserve">population </w:t>
      </w:r>
      <w:r w:rsidRPr="00014EF4">
        <w:rPr>
          <w:rFonts w:ascii="Times New Roman" w:eastAsiaTheme="minorEastAsia" w:hAnsi="Times New Roman" w:cs="Times New Roman"/>
        </w:rPr>
        <w:t xml:space="preserve">typical value (median) for the parameter; </w:t>
      </w:r>
    </w:p>
    <w:p w14:paraId="01011CD2" w14:textId="45F64286"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oMath>
      <w:r w:rsidR="00A67BF3" w:rsidRPr="00014EF4">
        <w:rPr>
          <w:rFonts w:ascii="Times New Roman" w:eastAsiaTheme="minorEastAsia" w:hAnsi="Times New Roman" w:cs="Times New Roman"/>
        </w:rPr>
        <w:t xml:space="preserve"> is the interindividual random effect reflecting the difference between an individual’s parameter value and the population’s typical value where </w:t>
      </w: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r>
          <w:rPr>
            <w:rFonts w:ascii="Cambria Math" w:hAnsi="Cambria Math" w:cs="Times New Roman"/>
          </w:rPr>
          <m:t xml:space="preserve">=N(0, </m:t>
        </m:r>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r>
          <w:rPr>
            <w:rFonts w:ascii="Cambria Math" w:hAnsi="Cambria Math" w:cs="Times New Roman"/>
          </w:rPr>
          <m:t>)</m:t>
        </m:r>
      </m:oMath>
      <w:r w:rsidR="00A67BF3" w:rsidRPr="00014EF4">
        <w:rPr>
          <w:rFonts w:ascii="Times New Roman" w:eastAsiaTheme="minorEastAsia"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oMath>
      <w:r w:rsidR="00A67BF3" w:rsidRPr="00014EF4">
        <w:rPr>
          <w:rFonts w:ascii="Times New Roman" w:eastAsiaTheme="minorEastAsia" w:hAnsi="Times New Roman" w:cs="Times New Roman"/>
        </w:rPr>
        <w:t xml:space="preserve"> is the variance of </w:t>
      </w: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oMath>
      <w:r w:rsidR="00A67BF3" w:rsidRPr="00014EF4">
        <w:rPr>
          <w:rFonts w:ascii="Times New Roman" w:eastAsiaTheme="minorEastAsia" w:hAnsi="Times New Roman" w:cs="Times New Roman"/>
        </w:rPr>
        <w:t xml:space="preserve">, which is estimated in model fitting. </w:t>
      </w:r>
    </w:p>
    <w:p w14:paraId="22BB4988" w14:textId="58F614C4" w:rsidR="00A67BF3" w:rsidRDefault="00A67BF3" w:rsidP="00386B99">
      <w:pPr>
        <w:rPr>
          <w:rFonts w:ascii="Times New Roman" w:eastAsiaTheme="minorEastAsia" w:hAnsi="Times New Roman" w:cs="Times New Roman"/>
        </w:rPr>
      </w:pPr>
      <w:r w:rsidRPr="00014EF4">
        <w:rPr>
          <w:rFonts w:ascii="Times New Roman" w:eastAsiaTheme="minorEastAsia" w:hAnsi="Times New Roman" w:cs="Times New Roman"/>
        </w:rPr>
        <w:t>The coefficient of variation (</w:t>
      </w:r>
      <m:oMath>
        <m:r>
          <w:rPr>
            <w:rFonts w:ascii="Cambria Math" w:eastAsiaTheme="minorEastAsia" w:hAnsi="Cambria Math" w:cs="Times New Roman"/>
          </w:rPr>
          <m:t>CV%</m:t>
        </m:r>
      </m:oMath>
      <w:r w:rsidRPr="00014EF4">
        <w:rPr>
          <w:rFonts w:ascii="Times New Roman" w:eastAsiaTheme="minorEastAsia" w:hAnsi="Times New Roman" w:cs="Times New Roman"/>
        </w:rPr>
        <w:t xml:space="preserve">= </w:t>
      </w:r>
      <m:oMath>
        <m:r>
          <w:rPr>
            <w:rFonts w:ascii="Cambria Math" w:eastAsiaTheme="minorEastAsia" w:hAnsi="Cambria Math" w:cs="Times New Roman"/>
          </w:rPr>
          <m:t>100sqrt(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e>
            </m:d>
          </m:e>
        </m:func>
        <m:r>
          <w:rPr>
            <w:rFonts w:ascii="Cambria Math" w:eastAsiaTheme="minorEastAsia" w:hAnsi="Cambria Math" w:cs="Times New Roman"/>
          </w:rPr>
          <m:t>-1)</m:t>
        </m:r>
      </m:oMath>
      <w:r w:rsidRPr="00014EF4">
        <w:rPr>
          <w:rFonts w:ascii="Times New Roman" w:eastAsiaTheme="minorEastAsia" w:hAnsi="Times New Roman" w:cs="Times New Roman"/>
        </w:rPr>
        <w:t xml:space="preserve">) is reported. </w:t>
      </w:r>
    </w:p>
    <w:p w14:paraId="533979CD" w14:textId="77777777" w:rsidR="00437687" w:rsidRPr="00014EF4" w:rsidRDefault="00437687" w:rsidP="00386B99">
      <w:pPr>
        <w:rPr>
          <w:rFonts w:ascii="Times New Roman" w:eastAsiaTheme="minorEastAsia" w:hAnsi="Times New Roman" w:cs="Times New Roman"/>
        </w:rPr>
      </w:pPr>
    </w:p>
    <w:p w14:paraId="61B19E0A" w14:textId="58DAEFDC" w:rsidR="00A67BF3" w:rsidRPr="00014EF4" w:rsidRDefault="00437687" w:rsidP="00386B99">
      <w:pPr>
        <w:rPr>
          <w:rFonts w:ascii="Times New Roman" w:eastAsiaTheme="minorEastAsia" w:hAnsi="Times New Roman" w:cs="Times New Roman"/>
        </w:rPr>
      </w:pPr>
      <w:r>
        <w:rPr>
          <w:rFonts w:ascii="Times New Roman" w:eastAsiaTheme="minorEastAsia" w:hAnsi="Times New Roman" w:cs="Times New Roman"/>
        </w:rPr>
        <w:t xml:space="preserve">Two separate proportional models were </w:t>
      </w:r>
      <w:r w:rsidR="00A67BF3" w:rsidRPr="00014EF4">
        <w:rPr>
          <w:rFonts w:ascii="Times New Roman" w:eastAsiaTheme="minorEastAsia" w:hAnsi="Times New Roman" w:cs="Times New Roman"/>
        </w:rPr>
        <w:t>used to explain residual variability</w:t>
      </w:r>
      <w:r>
        <w:rPr>
          <w:rFonts w:ascii="Times New Roman" w:eastAsiaTheme="minorEastAsia" w:hAnsi="Times New Roman" w:cs="Times New Roman"/>
        </w:rPr>
        <w:t xml:space="preserve"> </w:t>
      </w:r>
      <w:r w:rsidRPr="00437687">
        <w:rPr>
          <w:rFonts w:ascii="Times New Roman" w:eastAsiaTheme="minorEastAsia" w:hAnsi="Times New Roman" w:cs="Times New Roman"/>
        </w:rPr>
        <w:t xml:space="preserve">for samples collected within 2 hours after dose administration and 2 hours or more after </w:t>
      </w:r>
      <w:r w:rsidR="00811399">
        <w:rPr>
          <w:rFonts w:ascii="Times New Roman" w:eastAsiaTheme="minorEastAsia" w:hAnsi="Times New Roman" w:cs="Times New Roman"/>
        </w:rPr>
        <w:t xml:space="preserve">dose </w:t>
      </w:r>
      <w:r w:rsidRPr="00437687">
        <w:rPr>
          <w:rFonts w:ascii="Times New Roman" w:eastAsiaTheme="minorEastAsia" w:hAnsi="Times New Roman" w:cs="Times New Roman"/>
        </w:rPr>
        <w:t>administration (sensitivity analysis was performed to determine optimal cutoff).</w:t>
      </w:r>
      <w:r w:rsidR="00A67BF3" w:rsidRPr="00014EF4">
        <w:rPr>
          <w:rFonts w:ascii="Times New Roman" w:eastAsiaTheme="minorEastAsia" w:hAnsi="Times New Roman" w:cs="Times New Roman"/>
        </w:rPr>
        <w:t xml:space="preserve"> The following equation was used</w:t>
      </w:r>
      <w:r w:rsidR="00811399">
        <w:rPr>
          <w:rFonts w:ascii="Times New Roman" w:eastAsiaTheme="minorEastAsia" w:hAnsi="Times New Roman" w:cs="Times New Roman"/>
        </w:rPr>
        <w:t xml:space="preserve"> for each model</w:t>
      </w:r>
      <w:r w:rsidR="00A67BF3" w:rsidRPr="00014EF4">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 xml:space="preserve">i,j </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 xml:space="preserve">i,j </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r>
          <w:rPr>
            <w:rFonts w:ascii="Cambria Math" w:hAnsi="Cambria Math" w:cs="Times New Roman"/>
          </w:rPr>
          <m:t>)</m:t>
        </m:r>
      </m:oMath>
      <w:r w:rsidR="00A67BF3" w:rsidRPr="00014EF4">
        <w:rPr>
          <w:rFonts w:ascii="Times New Roman" w:eastAsiaTheme="minorEastAsia" w:hAnsi="Times New Roman" w:cs="Times New Roman"/>
        </w:rPr>
        <w:t xml:space="preserve"> where:</w:t>
      </w:r>
    </w:p>
    <w:p w14:paraId="7608C80C"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 xml:space="preserve">i,j </m:t>
            </m:r>
          </m:sub>
        </m:sSub>
      </m:oMath>
      <w:r w:rsidR="00A67BF3" w:rsidRPr="00014EF4">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 xml:space="preserve">i,j </m:t>
            </m:r>
          </m:sub>
        </m:sSub>
      </m:oMath>
      <w:r w:rsidR="00A67BF3" w:rsidRPr="00014EF4">
        <w:rPr>
          <w:rFonts w:ascii="Times New Roman" w:eastAsiaTheme="minorEastAsia" w:hAnsi="Times New Roman" w:cs="Times New Roman"/>
        </w:rPr>
        <w:t xml:space="preserve">are the observed and model predicted dependent variable values, respectively, for individual, </w:t>
      </w:r>
      <m:oMath>
        <m:r>
          <w:rPr>
            <w:rFonts w:ascii="Cambria Math" w:hAnsi="Cambria Math" w:cs="Times New Roman"/>
          </w:rPr>
          <m:t>i</m:t>
        </m:r>
      </m:oMath>
      <w:r w:rsidR="00A67BF3" w:rsidRPr="00014EF4">
        <w:rPr>
          <w:rFonts w:ascii="Times New Roman" w:eastAsiaTheme="minorEastAsia" w:hAnsi="Times New Roman" w:cs="Times New Roman"/>
        </w:rPr>
        <w:t xml:space="preserve">, and sampling timepoint, </w:t>
      </w:r>
      <m:oMath>
        <m:r>
          <w:rPr>
            <w:rFonts w:ascii="Cambria Math" w:eastAsiaTheme="minorEastAsia" w:hAnsi="Cambria Math" w:cs="Times New Roman"/>
          </w:rPr>
          <m:t>j</m:t>
        </m:r>
      </m:oMath>
      <w:r w:rsidR="00A67BF3" w:rsidRPr="00014EF4">
        <w:rPr>
          <w:rFonts w:ascii="Times New Roman" w:eastAsiaTheme="minorEastAsia" w:hAnsi="Times New Roman" w:cs="Times New Roman"/>
        </w:rPr>
        <w:t>; and</w:t>
      </w:r>
    </w:p>
    <w:p w14:paraId="49EF77C9"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oMath>
      <w:r w:rsidR="00A67BF3" w:rsidRPr="00014EF4">
        <w:rPr>
          <w:rFonts w:ascii="Times New Roman" w:eastAsiaTheme="minorEastAsia" w:hAnsi="Times New Roman" w:cs="Times New Roman"/>
        </w:rPr>
        <w:t xml:space="preserve"> is the unexplained residual error reflecting the difference between observed and model predicted data where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r>
          <w:rPr>
            <w:rFonts w:ascii="Cambria Math" w:hAnsi="Cambria Math" w:cs="Times New Roman"/>
          </w:rPr>
          <m:t xml:space="preserve">=N(0,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oMath>
      <w:r w:rsidR="00A67BF3" w:rsidRPr="00014EF4">
        <w:rPr>
          <w:rFonts w:ascii="Times New Roman" w:eastAsiaTheme="minorEastAsia" w:hAnsi="Times New Roman" w:cs="Times New Roman"/>
        </w:rPr>
        <w:t xml:space="preserve"> and </w:t>
      </w:r>
      <m:oMath>
        <m:r>
          <w:rPr>
            <w:rFonts w:ascii="Cambria Math" w:hAnsi="Cambria Math" w:cs="Times New Roman"/>
          </w:rPr>
          <m:t>σ</m:t>
        </m:r>
      </m:oMath>
      <w:r w:rsidR="00A67BF3" w:rsidRPr="00014EF4">
        <w:rPr>
          <w:rFonts w:ascii="Times New Roman" w:eastAsiaTheme="minorEastAsia" w:hAnsi="Times New Roman" w:cs="Times New Roman"/>
        </w:rPr>
        <w:t xml:space="preserve"> is the standard deviation of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oMath>
      <w:r w:rsidR="00A67BF3" w:rsidRPr="00014EF4">
        <w:rPr>
          <w:rFonts w:ascii="Times New Roman" w:eastAsiaTheme="minorEastAsia" w:hAnsi="Times New Roman" w:cs="Times New Roman"/>
        </w:rPr>
        <w:t xml:space="preserve"> which is estimated in the model fitting.  </w:t>
      </w:r>
      <w:r w:rsidR="00A67BF3" w:rsidRPr="00014EF4">
        <w:rPr>
          <w:rFonts w:ascii="Times New Roman" w:hAnsi="Times New Roman" w:cs="Times New Roman"/>
        </w:rPr>
        <w:br w:type="page"/>
      </w:r>
    </w:p>
    <w:p w14:paraId="02D32494" w14:textId="716183D0" w:rsidR="00A67BF3" w:rsidRPr="00014EF4" w:rsidRDefault="00990105" w:rsidP="00386B99">
      <w:pPr>
        <w:pStyle w:val="captions"/>
        <w:rPr>
          <w:rFonts w:cs="Times New Roman"/>
          <w:b w:val="0"/>
          <w:i w:val="0"/>
          <w:sz w:val="24"/>
          <w:szCs w:val="24"/>
        </w:rPr>
      </w:pPr>
      <w:r w:rsidRPr="006941F2">
        <w:rPr>
          <w:rStyle w:val="Heading2Char"/>
          <w:rFonts w:ascii="Times New Roman" w:hAnsi="Times New Roman" w:cs="Times New Roman"/>
          <w:i w:val="0"/>
          <w:color w:val="auto"/>
          <w:sz w:val="24"/>
          <w:szCs w:val="24"/>
        </w:rPr>
        <w:lastRenderedPageBreak/>
        <w:t>Supplemental Table 2</w:t>
      </w:r>
      <w:r>
        <w:rPr>
          <w:rFonts w:eastAsiaTheme="minorHAnsi" w:cs="Times New Roman"/>
          <w:i w:val="0"/>
          <w:iCs w:val="0"/>
          <w:color w:val="auto"/>
          <w:sz w:val="24"/>
          <w:szCs w:val="24"/>
        </w:rPr>
        <w:t xml:space="preserve"> </w:t>
      </w:r>
      <w:r w:rsidR="00A67BF3" w:rsidRPr="00014EF4">
        <w:rPr>
          <w:rFonts w:cs="Times New Roman"/>
          <w:b w:val="0"/>
          <w:i w:val="0"/>
          <w:sz w:val="24"/>
          <w:szCs w:val="24"/>
        </w:rPr>
        <w:t xml:space="preserve">Parameter estimates for final PK model. CV% is the coefficient of variation percentage of the parameter’s interindividual variability, and RSE% is the relative standard error percentage of the parameter estimate. See Supplemental Table 1 and Supplemental Methods for more details on structural and stochastic models. Abbreviation described in Supplemental Table 1. </w:t>
      </w:r>
    </w:p>
    <w:tbl>
      <w:tblPr>
        <w:tblStyle w:val="TableGrid"/>
        <w:tblW w:w="0" w:type="auto"/>
        <w:tblLook w:val="04A0" w:firstRow="1" w:lastRow="0" w:firstColumn="1" w:lastColumn="0" w:noHBand="0" w:noVBand="1"/>
      </w:tblPr>
      <w:tblGrid>
        <w:gridCol w:w="3955"/>
        <w:gridCol w:w="2278"/>
        <w:gridCol w:w="3117"/>
      </w:tblGrid>
      <w:tr w:rsidR="00A67BF3" w:rsidRPr="00014EF4" w14:paraId="2D660255" w14:textId="77777777" w:rsidTr="00E45606">
        <w:tc>
          <w:tcPr>
            <w:tcW w:w="3955" w:type="dxa"/>
          </w:tcPr>
          <w:p w14:paraId="792EEAF9"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Parameter (units)</w:t>
            </w:r>
          </w:p>
        </w:tc>
        <w:tc>
          <w:tcPr>
            <w:tcW w:w="2278" w:type="dxa"/>
          </w:tcPr>
          <w:p w14:paraId="17F94EEB"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Estimate (RSE %)</w:t>
            </w:r>
          </w:p>
        </w:tc>
        <w:tc>
          <w:tcPr>
            <w:tcW w:w="3117" w:type="dxa"/>
          </w:tcPr>
          <w:p w14:paraId="52554C89"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CV % (RSE %)</w:t>
            </w:r>
          </w:p>
        </w:tc>
      </w:tr>
      <w:tr w:rsidR="00A67BF3" w:rsidRPr="00014EF4" w14:paraId="7CB71F4D" w14:textId="77777777" w:rsidTr="00E45606">
        <w:tc>
          <w:tcPr>
            <w:tcW w:w="3955" w:type="dxa"/>
          </w:tcPr>
          <w:p w14:paraId="3D743332"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Intrinsic clearance, </w:t>
            </w:r>
            <m:oMath>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oMath>
            <w:r w:rsidRPr="00014EF4">
              <w:rPr>
                <w:rFonts w:ascii="Times New Roman" w:hAnsi="Times New Roman" w:cs="Times New Roman"/>
                <w:vertAlign w:val="subscript"/>
              </w:rPr>
              <w:t xml:space="preserve"> </w:t>
            </w:r>
            <w:r w:rsidRPr="00014EF4">
              <w:rPr>
                <w:rFonts w:ascii="Times New Roman" w:hAnsi="Times New Roman" w:cs="Times New Roman"/>
              </w:rPr>
              <w:t>(L/h)</w:t>
            </w:r>
          </w:p>
        </w:tc>
        <w:tc>
          <w:tcPr>
            <w:tcW w:w="2278" w:type="dxa"/>
          </w:tcPr>
          <w:p w14:paraId="2DDCE779" w14:textId="6083AB65" w:rsidR="00A67BF3" w:rsidRPr="00014EF4" w:rsidRDefault="008B44CB" w:rsidP="00386B99">
            <w:pPr>
              <w:rPr>
                <w:rFonts w:ascii="Times New Roman" w:hAnsi="Times New Roman" w:cs="Times New Roman"/>
              </w:rPr>
            </w:pPr>
            <w:r>
              <w:rPr>
                <w:rFonts w:ascii="Times New Roman" w:hAnsi="Times New Roman" w:cs="Times New Roman"/>
              </w:rPr>
              <w:t>7.9</w:t>
            </w:r>
            <w:r w:rsidR="00A67BF3" w:rsidRPr="00014EF4">
              <w:rPr>
                <w:rFonts w:ascii="Times New Roman" w:hAnsi="Times New Roman" w:cs="Times New Roman"/>
              </w:rPr>
              <w:t xml:space="preserve"> (</w:t>
            </w:r>
            <w:r>
              <w:rPr>
                <w:rFonts w:ascii="Times New Roman" w:hAnsi="Times New Roman" w:cs="Times New Roman"/>
              </w:rPr>
              <w:t>38</w:t>
            </w:r>
            <w:r w:rsidR="00A67BF3" w:rsidRPr="00014EF4">
              <w:rPr>
                <w:rFonts w:ascii="Times New Roman" w:hAnsi="Times New Roman" w:cs="Times New Roman"/>
              </w:rPr>
              <w:t>)</w:t>
            </w:r>
          </w:p>
        </w:tc>
        <w:tc>
          <w:tcPr>
            <w:tcW w:w="3117" w:type="dxa"/>
          </w:tcPr>
          <w:p w14:paraId="0EA8CC6D" w14:textId="2D3A3A3F" w:rsidR="00A67BF3" w:rsidRPr="00014EF4" w:rsidRDefault="008B44CB" w:rsidP="00386B99">
            <w:pPr>
              <w:rPr>
                <w:rFonts w:ascii="Times New Roman" w:hAnsi="Times New Roman" w:cs="Times New Roman"/>
              </w:rPr>
            </w:pPr>
            <w:r>
              <w:rPr>
                <w:rFonts w:ascii="Times New Roman" w:hAnsi="Times New Roman" w:cs="Times New Roman"/>
              </w:rPr>
              <w:t>18</w:t>
            </w:r>
            <w:r w:rsidR="00A67BF3" w:rsidRPr="00014EF4">
              <w:rPr>
                <w:rFonts w:ascii="Times New Roman" w:hAnsi="Times New Roman" w:cs="Times New Roman"/>
              </w:rPr>
              <w:t xml:space="preserve"> (</w:t>
            </w:r>
            <w:r>
              <w:rPr>
                <w:rFonts w:ascii="Times New Roman" w:hAnsi="Times New Roman" w:cs="Times New Roman"/>
              </w:rPr>
              <w:t>48</w:t>
            </w:r>
            <w:r w:rsidR="00A67BF3" w:rsidRPr="00014EF4">
              <w:rPr>
                <w:rFonts w:ascii="Times New Roman" w:hAnsi="Times New Roman" w:cs="Times New Roman"/>
              </w:rPr>
              <w:t>)</w:t>
            </w:r>
          </w:p>
        </w:tc>
      </w:tr>
      <w:tr w:rsidR="00A67BF3" w:rsidRPr="00014EF4" w14:paraId="0589DAB1" w14:textId="77777777" w:rsidTr="00E45606">
        <w:tc>
          <w:tcPr>
            <w:tcW w:w="3955" w:type="dxa"/>
          </w:tcPr>
          <w:p w14:paraId="1838C589"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Michaelis-Menten Constant,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Pr="00014EF4">
              <w:rPr>
                <w:rFonts w:ascii="Times New Roman" w:hAnsi="Times New Roman" w:cs="Times New Roman"/>
              </w:rPr>
              <w:t xml:space="preserve"> (mg/L)</w:t>
            </w:r>
          </w:p>
        </w:tc>
        <w:tc>
          <w:tcPr>
            <w:tcW w:w="2278" w:type="dxa"/>
          </w:tcPr>
          <w:p w14:paraId="54FED649" w14:textId="05292FDE" w:rsidR="00A67BF3" w:rsidRPr="00014EF4" w:rsidRDefault="008B44CB" w:rsidP="00386B99">
            <w:pPr>
              <w:rPr>
                <w:rFonts w:ascii="Times New Roman" w:hAnsi="Times New Roman" w:cs="Times New Roman"/>
              </w:rPr>
            </w:pPr>
            <w:r>
              <w:rPr>
                <w:rFonts w:ascii="Times New Roman" w:hAnsi="Times New Roman" w:cs="Times New Roman"/>
              </w:rPr>
              <w:t>16</w:t>
            </w:r>
            <w:r w:rsidR="00A67BF3" w:rsidRPr="00014EF4">
              <w:rPr>
                <w:rFonts w:ascii="Times New Roman" w:hAnsi="Times New Roman" w:cs="Times New Roman"/>
              </w:rPr>
              <w:t xml:space="preserve"> (</w:t>
            </w:r>
            <w:r>
              <w:rPr>
                <w:rFonts w:ascii="Times New Roman" w:hAnsi="Times New Roman" w:cs="Times New Roman"/>
              </w:rPr>
              <w:t>90</w:t>
            </w:r>
            <w:r w:rsidR="00A67BF3" w:rsidRPr="00014EF4">
              <w:rPr>
                <w:rFonts w:ascii="Times New Roman" w:hAnsi="Times New Roman" w:cs="Times New Roman"/>
              </w:rPr>
              <w:t>)</w:t>
            </w:r>
          </w:p>
        </w:tc>
        <w:tc>
          <w:tcPr>
            <w:tcW w:w="3117" w:type="dxa"/>
          </w:tcPr>
          <w:p w14:paraId="4F6F8D3A" w14:textId="77777777" w:rsidR="00A67BF3" w:rsidRPr="00014EF4" w:rsidRDefault="00A67BF3" w:rsidP="00386B99">
            <w:pPr>
              <w:rPr>
                <w:rFonts w:ascii="Times New Roman" w:hAnsi="Times New Roman" w:cs="Times New Roman"/>
              </w:rPr>
            </w:pPr>
          </w:p>
        </w:tc>
      </w:tr>
      <w:tr w:rsidR="00A67BF3" w:rsidRPr="00014EF4" w14:paraId="3C3FBF19" w14:textId="77777777" w:rsidTr="00E45606">
        <w:tc>
          <w:tcPr>
            <w:tcW w:w="3955" w:type="dxa"/>
          </w:tcPr>
          <w:p w14:paraId="14976C01"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Volume of distribution,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oMath>
            <w:r w:rsidRPr="00014EF4">
              <w:rPr>
                <w:rFonts w:ascii="Times New Roman" w:hAnsi="Times New Roman" w:cs="Times New Roman"/>
              </w:rPr>
              <w:t xml:space="preserve"> (L)</w:t>
            </w:r>
          </w:p>
        </w:tc>
        <w:tc>
          <w:tcPr>
            <w:tcW w:w="2278" w:type="dxa"/>
          </w:tcPr>
          <w:p w14:paraId="10172295" w14:textId="563E3E09" w:rsidR="00A67BF3" w:rsidRPr="00014EF4" w:rsidRDefault="008B44CB" w:rsidP="00386B99">
            <w:pPr>
              <w:rPr>
                <w:rFonts w:ascii="Times New Roman" w:hAnsi="Times New Roman" w:cs="Times New Roman"/>
              </w:rPr>
            </w:pPr>
            <w:r>
              <w:rPr>
                <w:rFonts w:ascii="Times New Roman" w:hAnsi="Times New Roman" w:cs="Times New Roman"/>
              </w:rPr>
              <w:t>49</w:t>
            </w:r>
            <w:r w:rsidR="00A67BF3" w:rsidRPr="00014EF4">
              <w:rPr>
                <w:rFonts w:ascii="Times New Roman" w:hAnsi="Times New Roman" w:cs="Times New Roman"/>
              </w:rPr>
              <w:t xml:space="preserve"> (</w:t>
            </w:r>
            <w:r>
              <w:rPr>
                <w:rFonts w:ascii="Times New Roman" w:hAnsi="Times New Roman" w:cs="Times New Roman"/>
              </w:rPr>
              <w:t>11</w:t>
            </w:r>
            <w:r w:rsidR="00A67BF3" w:rsidRPr="00014EF4">
              <w:rPr>
                <w:rFonts w:ascii="Times New Roman" w:hAnsi="Times New Roman" w:cs="Times New Roman"/>
              </w:rPr>
              <w:t>)</w:t>
            </w:r>
          </w:p>
        </w:tc>
        <w:tc>
          <w:tcPr>
            <w:tcW w:w="3117" w:type="dxa"/>
          </w:tcPr>
          <w:p w14:paraId="629654CA" w14:textId="7695C2AB" w:rsidR="00A67BF3" w:rsidRPr="00014EF4" w:rsidRDefault="008B44CB" w:rsidP="00386B99">
            <w:pPr>
              <w:rPr>
                <w:rFonts w:ascii="Times New Roman" w:hAnsi="Times New Roman" w:cs="Times New Roman"/>
              </w:rPr>
            </w:pPr>
            <w:r>
              <w:rPr>
                <w:rFonts w:ascii="Times New Roman" w:hAnsi="Times New Roman" w:cs="Times New Roman"/>
              </w:rPr>
              <w:t>32</w:t>
            </w:r>
            <w:r w:rsidR="00A67BF3" w:rsidRPr="00014EF4">
              <w:rPr>
                <w:rFonts w:ascii="Times New Roman" w:hAnsi="Times New Roman" w:cs="Times New Roman"/>
              </w:rPr>
              <w:t xml:space="preserve"> (</w:t>
            </w:r>
            <w:r>
              <w:rPr>
                <w:rFonts w:ascii="Times New Roman" w:hAnsi="Times New Roman" w:cs="Times New Roman"/>
              </w:rPr>
              <w:t>15</w:t>
            </w:r>
            <w:r w:rsidR="00A67BF3" w:rsidRPr="00014EF4">
              <w:rPr>
                <w:rFonts w:ascii="Times New Roman" w:hAnsi="Times New Roman" w:cs="Times New Roman"/>
              </w:rPr>
              <w:t>)</w:t>
            </w:r>
          </w:p>
        </w:tc>
      </w:tr>
      <w:tr w:rsidR="00A67BF3" w:rsidRPr="00014EF4" w14:paraId="6850545E" w14:textId="77777777" w:rsidTr="00E45606">
        <w:tc>
          <w:tcPr>
            <w:tcW w:w="3955" w:type="dxa"/>
          </w:tcPr>
          <w:p w14:paraId="7492E344"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Rate of absorption,</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oMath>
            <w:r w:rsidRPr="00014EF4">
              <w:rPr>
                <w:rFonts w:ascii="Times New Roman" w:hAnsi="Times New Roman" w:cs="Times New Roman"/>
                <w:vertAlign w:val="subscript"/>
              </w:rPr>
              <w:t xml:space="preserve"> </w:t>
            </w:r>
            <w:r w:rsidRPr="00014EF4">
              <w:rPr>
                <w:rFonts w:ascii="Times New Roman" w:hAnsi="Times New Roman" w:cs="Times New Roman"/>
              </w:rPr>
              <w:t>(1/h)</w:t>
            </w:r>
          </w:p>
        </w:tc>
        <w:tc>
          <w:tcPr>
            <w:tcW w:w="2278" w:type="dxa"/>
          </w:tcPr>
          <w:p w14:paraId="4225A8F4" w14:textId="1E90E9D0" w:rsidR="00A67BF3" w:rsidRPr="00014EF4" w:rsidRDefault="00A67BF3" w:rsidP="00386B99">
            <w:pPr>
              <w:rPr>
                <w:rFonts w:ascii="Times New Roman" w:hAnsi="Times New Roman" w:cs="Times New Roman"/>
              </w:rPr>
            </w:pPr>
            <w:r w:rsidRPr="00014EF4">
              <w:rPr>
                <w:rFonts w:ascii="Times New Roman" w:hAnsi="Times New Roman" w:cs="Times New Roman"/>
              </w:rPr>
              <w:t>1</w:t>
            </w:r>
            <w:r w:rsidR="008B44CB">
              <w:rPr>
                <w:rFonts w:ascii="Times New Roman" w:hAnsi="Times New Roman" w:cs="Times New Roman"/>
              </w:rPr>
              <w:t>.1</w:t>
            </w:r>
            <w:r w:rsidRPr="00014EF4">
              <w:rPr>
                <w:rFonts w:ascii="Times New Roman" w:hAnsi="Times New Roman" w:cs="Times New Roman"/>
              </w:rPr>
              <w:t xml:space="preserve"> (</w:t>
            </w:r>
            <w:r w:rsidR="008B44CB">
              <w:rPr>
                <w:rFonts w:ascii="Times New Roman" w:hAnsi="Times New Roman" w:cs="Times New Roman"/>
              </w:rPr>
              <w:t>22</w:t>
            </w:r>
            <w:r w:rsidRPr="00014EF4">
              <w:rPr>
                <w:rFonts w:ascii="Times New Roman" w:hAnsi="Times New Roman" w:cs="Times New Roman"/>
              </w:rPr>
              <w:t>)</w:t>
            </w:r>
          </w:p>
        </w:tc>
        <w:tc>
          <w:tcPr>
            <w:tcW w:w="3117" w:type="dxa"/>
          </w:tcPr>
          <w:p w14:paraId="39CF7F38" w14:textId="547070ED" w:rsidR="00A67BF3" w:rsidRPr="00014EF4" w:rsidRDefault="008B44CB" w:rsidP="00386B99">
            <w:pPr>
              <w:rPr>
                <w:rFonts w:ascii="Times New Roman" w:hAnsi="Times New Roman" w:cs="Times New Roman"/>
              </w:rPr>
            </w:pPr>
            <w:r>
              <w:rPr>
                <w:rFonts w:ascii="Times New Roman" w:hAnsi="Times New Roman" w:cs="Times New Roman"/>
              </w:rPr>
              <w:t>85</w:t>
            </w:r>
            <w:r w:rsidR="00A67BF3" w:rsidRPr="00014EF4">
              <w:rPr>
                <w:rFonts w:ascii="Times New Roman" w:hAnsi="Times New Roman" w:cs="Times New Roman"/>
              </w:rPr>
              <w:t xml:space="preserve"> (</w:t>
            </w:r>
            <w:r>
              <w:rPr>
                <w:rFonts w:ascii="Times New Roman" w:hAnsi="Times New Roman" w:cs="Times New Roman"/>
              </w:rPr>
              <w:t>21</w:t>
            </w:r>
            <w:r w:rsidR="00A67BF3" w:rsidRPr="00014EF4">
              <w:rPr>
                <w:rFonts w:ascii="Times New Roman" w:hAnsi="Times New Roman" w:cs="Times New Roman"/>
              </w:rPr>
              <w:t>)</w:t>
            </w:r>
          </w:p>
        </w:tc>
      </w:tr>
      <w:tr w:rsidR="00A67BF3" w:rsidRPr="00014EF4" w14:paraId="590372B6" w14:textId="77777777" w:rsidTr="00E45606">
        <w:tc>
          <w:tcPr>
            <w:tcW w:w="3955" w:type="dxa"/>
          </w:tcPr>
          <w:p w14:paraId="6CC18FDC" w14:textId="3375F17D"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Intercompartment clearance, </w:t>
            </w:r>
            <m:oMath>
              <m:r>
                <w:rPr>
                  <w:rFonts w:ascii="Cambria Math" w:hAnsi="Cambria Math" w:cs="Times New Roman"/>
                </w:rPr>
                <m:t>Q</m:t>
              </m:r>
            </m:oMath>
            <w:r w:rsidRPr="00014EF4">
              <w:rPr>
                <w:rFonts w:ascii="Times New Roman" w:hAnsi="Times New Roman" w:cs="Times New Roman"/>
              </w:rPr>
              <w:t>, (L/h)</w:t>
            </w:r>
          </w:p>
        </w:tc>
        <w:tc>
          <w:tcPr>
            <w:tcW w:w="2278" w:type="dxa"/>
          </w:tcPr>
          <w:p w14:paraId="58B8D279" w14:textId="463A77FD" w:rsidR="00A67BF3" w:rsidRPr="00014EF4" w:rsidRDefault="008B44CB" w:rsidP="00386B99">
            <w:pPr>
              <w:rPr>
                <w:rFonts w:ascii="Times New Roman" w:hAnsi="Times New Roman" w:cs="Times New Roman"/>
              </w:rPr>
            </w:pPr>
            <w:r>
              <w:rPr>
                <w:rFonts w:ascii="Times New Roman" w:hAnsi="Times New Roman" w:cs="Times New Roman"/>
              </w:rPr>
              <w:t>0.8</w:t>
            </w:r>
            <w:r w:rsidR="00A67BF3" w:rsidRPr="00014EF4">
              <w:rPr>
                <w:rFonts w:ascii="Times New Roman" w:hAnsi="Times New Roman" w:cs="Times New Roman"/>
              </w:rPr>
              <w:t xml:space="preserve"> (</w:t>
            </w:r>
            <w:r w:rsidR="009D55AA">
              <w:rPr>
                <w:rFonts w:ascii="Times New Roman" w:hAnsi="Times New Roman" w:cs="Times New Roman"/>
              </w:rPr>
              <w:t>9</w:t>
            </w:r>
            <w:bookmarkStart w:id="1" w:name="_GoBack"/>
            <w:bookmarkEnd w:id="1"/>
            <w:r>
              <w:rPr>
                <w:rFonts w:ascii="Times New Roman" w:hAnsi="Times New Roman" w:cs="Times New Roman"/>
              </w:rPr>
              <w:t>0</w:t>
            </w:r>
            <w:r w:rsidR="00A67BF3" w:rsidRPr="00014EF4">
              <w:rPr>
                <w:rFonts w:ascii="Times New Roman" w:hAnsi="Times New Roman" w:cs="Times New Roman"/>
              </w:rPr>
              <w:t>)</w:t>
            </w:r>
          </w:p>
        </w:tc>
        <w:tc>
          <w:tcPr>
            <w:tcW w:w="3117" w:type="dxa"/>
          </w:tcPr>
          <w:p w14:paraId="456F46FF" w14:textId="77777777" w:rsidR="00A67BF3" w:rsidRPr="00014EF4" w:rsidRDefault="00A67BF3" w:rsidP="00386B99">
            <w:pPr>
              <w:rPr>
                <w:rFonts w:ascii="Times New Roman" w:hAnsi="Times New Roman" w:cs="Times New Roman"/>
              </w:rPr>
            </w:pPr>
          </w:p>
        </w:tc>
      </w:tr>
      <w:tr w:rsidR="00A67BF3" w:rsidRPr="00014EF4" w14:paraId="1FAD9172" w14:textId="77777777" w:rsidTr="00E45606">
        <w:tc>
          <w:tcPr>
            <w:tcW w:w="3955" w:type="dxa"/>
          </w:tcPr>
          <w:p w14:paraId="7454944B"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Peripheral Volume,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oMath>
            <w:r w:rsidRPr="00014EF4">
              <w:rPr>
                <w:rFonts w:ascii="Times New Roman" w:hAnsi="Times New Roman" w:cs="Times New Roman"/>
              </w:rPr>
              <w:t>, (L)</w:t>
            </w:r>
          </w:p>
        </w:tc>
        <w:tc>
          <w:tcPr>
            <w:tcW w:w="2278" w:type="dxa"/>
          </w:tcPr>
          <w:p w14:paraId="6BC9FBD4" w14:textId="2FD2433E" w:rsidR="00A67BF3" w:rsidRPr="00014EF4" w:rsidRDefault="008B44CB" w:rsidP="00386B99">
            <w:pPr>
              <w:rPr>
                <w:rFonts w:ascii="Times New Roman" w:hAnsi="Times New Roman" w:cs="Times New Roman"/>
              </w:rPr>
            </w:pPr>
            <w:r>
              <w:rPr>
                <w:rFonts w:ascii="Times New Roman" w:hAnsi="Times New Roman" w:cs="Times New Roman"/>
              </w:rPr>
              <w:t>14</w:t>
            </w:r>
            <w:r w:rsidR="00A67BF3" w:rsidRPr="00014EF4">
              <w:rPr>
                <w:rFonts w:ascii="Times New Roman" w:hAnsi="Times New Roman" w:cs="Times New Roman"/>
              </w:rPr>
              <w:t xml:space="preserve"> (</w:t>
            </w:r>
            <w:r>
              <w:rPr>
                <w:rFonts w:ascii="Times New Roman" w:hAnsi="Times New Roman" w:cs="Times New Roman"/>
              </w:rPr>
              <w:t>40</w:t>
            </w:r>
            <w:r w:rsidR="00A67BF3" w:rsidRPr="00014EF4">
              <w:rPr>
                <w:rFonts w:ascii="Times New Roman" w:hAnsi="Times New Roman" w:cs="Times New Roman"/>
              </w:rPr>
              <w:t>)</w:t>
            </w:r>
          </w:p>
        </w:tc>
        <w:tc>
          <w:tcPr>
            <w:tcW w:w="3117" w:type="dxa"/>
          </w:tcPr>
          <w:p w14:paraId="3ECED426" w14:textId="77777777" w:rsidR="00A67BF3" w:rsidRPr="00014EF4" w:rsidRDefault="00A67BF3" w:rsidP="00386B99">
            <w:pPr>
              <w:rPr>
                <w:rFonts w:ascii="Times New Roman" w:hAnsi="Times New Roman" w:cs="Times New Roman"/>
              </w:rPr>
            </w:pPr>
          </w:p>
        </w:tc>
      </w:tr>
      <w:tr w:rsidR="00A67BF3" w:rsidRPr="00014EF4" w14:paraId="30062843" w14:textId="77777777" w:rsidTr="00E45606">
        <w:tc>
          <w:tcPr>
            <w:tcW w:w="3955" w:type="dxa"/>
          </w:tcPr>
          <w:p w14:paraId="60B17B82" w14:textId="306A75AB" w:rsidR="00A67BF3" w:rsidRPr="00014EF4" w:rsidRDefault="00A67BF3" w:rsidP="00393591">
            <w:pPr>
              <w:rPr>
                <w:rFonts w:ascii="Times New Roman" w:hAnsi="Times New Roman" w:cs="Times New Roman"/>
              </w:rPr>
            </w:pPr>
            <w:r w:rsidRPr="00014EF4">
              <w:rPr>
                <w:rFonts w:ascii="Times New Roman" w:hAnsi="Times New Roman" w:cs="Times New Roman"/>
              </w:rPr>
              <w:t>Standard deviation of proportional residual error</w:t>
            </w:r>
            <w:r w:rsidR="00437687">
              <w:rPr>
                <w:rFonts w:ascii="Times New Roman" w:hAnsi="Times New Roman" w:cs="Times New Roman"/>
              </w:rPr>
              <w:t xml:space="preserve"> within 2 hours of dose administation</w:t>
            </w:r>
            <w:r w:rsidRPr="00014EF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1</m:t>
                  </m:r>
                </m:sub>
              </m:sSub>
            </m:oMath>
            <w:r w:rsidRPr="00014EF4">
              <w:rPr>
                <w:rFonts w:ascii="Times New Roman" w:hAnsi="Times New Roman" w:cs="Times New Roman"/>
              </w:rPr>
              <w:t xml:space="preserve"> </w:t>
            </w:r>
          </w:p>
        </w:tc>
        <w:tc>
          <w:tcPr>
            <w:tcW w:w="2278" w:type="dxa"/>
          </w:tcPr>
          <w:p w14:paraId="13DC13CE" w14:textId="14FEA235" w:rsidR="00A67BF3" w:rsidRPr="00014EF4" w:rsidRDefault="00A67BF3" w:rsidP="00386B99">
            <w:pPr>
              <w:rPr>
                <w:rFonts w:ascii="Times New Roman" w:hAnsi="Times New Roman" w:cs="Times New Roman"/>
              </w:rPr>
            </w:pPr>
            <w:r w:rsidRPr="00014EF4">
              <w:rPr>
                <w:rFonts w:ascii="Times New Roman" w:hAnsi="Times New Roman" w:cs="Times New Roman"/>
              </w:rPr>
              <w:t>0.</w:t>
            </w:r>
            <w:r w:rsidR="008B44CB">
              <w:rPr>
                <w:rFonts w:ascii="Times New Roman" w:hAnsi="Times New Roman" w:cs="Times New Roman"/>
              </w:rPr>
              <w:t>52</w:t>
            </w:r>
            <w:r w:rsidRPr="00014EF4">
              <w:rPr>
                <w:rFonts w:ascii="Times New Roman" w:hAnsi="Times New Roman" w:cs="Times New Roman"/>
              </w:rPr>
              <w:t xml:space="preserve"> (1</w:t>
            </w:r>
            <w:r w:rsidR="008B44CB">
              <w:rPr>
                <w:rFonts w:ascii="Times New Roman" w:hAnsi="Times New Roman" w:cs="Times New Roman"/>
              </w:rPr>
              <w:t>6</w:t>
            </w:r>
            <w:r w:rsidRPr="00014EF4">
              <w:rPr>
                <w:rFonts w:ascii="Times New Roman" w:hAnsi="Times New Roman" w:cs="Times New Roman"/>
              </w:rPr>
              <w:t>)</w:t>
            </w:r>
          </w:p>
        </w:tc>
        <w:tc>
          <w:tcPr>
            <w:tcW w:w="3117" w:type="dxa"/>
          </w:tcPr>
          <w:p w14:paraId="7CF076B0" w14:textId="77777777" w:rsidR="00A67BF3" w:rsidRPr="00014EF4" w:rsidRDefault="00A67BF3" w:rsidP="00386B99">
            <w:pPr>
              <w:rPr>
                <w:rFonts w:ascii="Times New Roman" w:hAnsi="Times New Roman" w:cs="Times New Roman"/>
              </w:rPr>
            </w:pPr>
          </w:p>
        </w:tc>
      </w:tr>
      <w:tr w:rsidR="00437687" w:rsidRPr="00014EF4" w14:paraId="2F4E2ACF" w14:textId="77777777" w:rsidTr="00E45606">
        <w:tc>
          <w:tcPr>
            <w:tcW w:w="3955" w:type="dxa"/>
          </w:tcPr>
          <w:p w14:paraId="793F43A3" w14:textId="03BD4136" w:rsidR="00437687" w:rsidRPr="00014EF4" w:rsidRDefault="00437687" w:rsidP="00393591">
            <w:pPr>
              <w:rPr>
                <w:rFonts w:ascii="Times New Roman" w:hAnsi="Times New Roman" w:cs="Times New Roman"/>
              </w:rPr>
            </w:pPr>
            <w:r w:rsidRPr="00014EF4">
              <w:rPr>
                <w:rFonts w:ascii="Times New Roman" w:hAnsi="Times New Roman" w:cs="Times New Roman"/>
              </w:rPr>
              <w:t>Standard deviation of proportional residual error</w:t>
            </w:r>
            <w:r>
              <w:rPr>
                <w:rFonts w:ascii="Times New Roman" w:hAnsi="Times New Roman" w:cs="Times New Roman"/>
              </w:rPr>
              <w:t xml:space="preserve"> 2 hours or more after  dose administatio</w:t>
            </w:r>
            <w:r w:rsidRPr="00014EF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2</m:t>
                  </m:r>
                </m:sub>
              </m:sSub>
            </m:oMath>
          </w:p>
        </w:tc>
        <w:tc>
          <w:tcPr>
            <w:tcW w:w="2278" w:type="dxa"/>
          </w:tcPr>
          <w:p w14:paraId="0B12AF24" w14:textId="2A9F1B7F" w:rsidR="00437687" w:rsidRPr="00014EF4" w:rsidRDefault="008B44CB" w:rsidP="00386B99">
            <w:pPr>
              <w:rPr>
                <w:rFonts w:ascii="Times New Roman" w:hAnsi="Times New Roman" w:cs="Times New Roman"/>
              </w:rPr>
            </w:pPr>
            <w:r>
              <w:rPr>
                <w:rFonts w:ascii="Times New Roman" w:hAnsi="Times New Roman" w:cs="Times New Roman"/>
              </w:rPr>
              <w:t>0.14 (17)</w:t>
            </w:r>
          </w:p>
        </w:tc>
        <w:tc>
          <w:tcPr>
            <w:tcW w:w="3117" w:type="dxa"/>
          </w:tcPr>
          <w:p w14:paraId="66D5B358" w14:textId="77777777" w:rsidR="00437687" w:rsidRPr="00014EF4" w:rsidRDefault="00437687" w:rsidP="00386B99">
            <w:pPr>
              <w:rPr>
                <w:rFonts w:ascii="Times New Roman" w:hAnsi="Times New Roman" w:cs="Times New Roman"/>
              </w:rPr>
            </w:pPr>
          </w:p>
        </w:tc>
      </w:tr>
      <w:tr w:rsidR="00A67BF3" w:rsidRPr="00014EF4" w14:paraId="02C9EE5D" w14:textId="77777777" w:rsidTr="00E45606">
        <w:tc>
          <w:tcPr>
            <w:tcW w:w="3955" w:type="dxa"/>
          </w:tcPr>
          <w:p w14:paraId="77436296" w14:textId="6734D193"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Interoccasion variability for </w:t>
            </w:r>
            <m:oMath>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oMath>
            <w:r w:rsidRPr="00014EF4">
              <w:rPr>
                <w:rFonts w:ascii="Times New Roman" w:hAnsi="Times New Roman" w:cs="Times New Roman"/>
              </w:rPr>
              <w:t xml:space="preserve"> (CV%)</w:t>
            </w:r>
          </w:p>
        </w:tc>
        <w:tc>
          <w:tcPr>
            <w:tcW w:w="2278" w:type="dxa"/>
          </w:tcPr>
          <w:p w14:paraId="6F2A02EF" w14:textId="59486073" w:rsidR="00A67BF3" w:rsidRPr="00014EF4" w:rsidRDefault="00A67BF3" w:rsidP="00386B99">
            <w:pPr>
              <w:rPr>
                <w:rFonts w:ascii="Times New Roman" w:hAnsi="Times New Roman" w:cs="Times New Roman"/>
              </w:rPr>
            </w:pPr>
            <w:r w:rsidRPr="00014EF4">
              <w:rPr>
                <w:rFonts w:ascii="Times New Roman" w:hAnsi="Times New Roman" w:cs="Times New Roman"/>
              </w:rPr>
              <w:t>2</w:t>
            </w:r>
            <w:r w:rsidR="008B44CB">
              <w:rPr>
                <w:rFonts w:ascii="Times New Roman" w:hAnsi="Times New Roman" w:cs="Times New Roman"/>
              </w:rPr>
              <w:t>6</w:t>
            </w:r>
            <w:r w:rsidRPr="00014EF4">
              <w:rPr>
                <w:rFonts w:ascii="Times New Roman" w:hAnsi="Times New Roman" w:cs="Times New Roman"/>
              </w:rPr>
              <w:t xml:space="preserve"> (</w:t>
            </w:r>
            <w:r w:rsidR="008B44CB">
              <w:rPr>
                <w:rFonts w:ascii="Times New Roman" w:hAnsi="Times New Roman" w:cs="Times New Roman"/>
              </w:rPr>
              <w:t>26</w:t>
            </w:r>
            <w:r w:rsidRPr="00014EF4">
              <w:rPr>
                <w:rFonts w:ascii="Times New Roman" w:hAnsi="Times New Roman" w:cs="Times New Roman"/>
              </w:rPr>
              <w:t>)</w:t>
            </w:r>
          </w:p>
        </w:tc>
        <w:tc>
          <w:tcPr>
            <w:tcW w:w="3117" w:type="dxa"/>
          </w:tcPr>
          <w:p w14:paraId="39BF8123" w14:textId="77777777" w:rsidR="00A67BF3" w:rsidRPr="00014EF4" w:rsidRDefault="00A67BF3" w:rsidP="00386B99">
            <w:pPr>
              <w:keepNext/>
              <w:rPr>
                <w:rFonts w:ascii="Times New Roman" w:hAnsi="Times New Roman" w:cs="Times New Roman"/>
              </w:rPr>
            </w:pPr>
          </w:p>
        </w:tc>
      </w:tr>
    </w:tbl>
    <w:p w14:paraId="17CA26AD" w14:textId="77777777" w:rsidR="00A67BF3" w:rsidRPr="00014EF4" w:rsidRDefault="00A67BF3" w:rsidP="00393591">
      <w:pPr>
        <w:rPr>
          <w:rFonts w:ascii="Times New Roman" w:hAnsi="Times New Roman" w:cs="Times New Roman"/>
        </w:rPr>
      </w:pPr>
    </w:p>
    <w:p w14:paraId="413A79DD"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br w:type="page"/>
      </w:r>
    </w:p>
    <w:bookmarkEnd w:id="0"/>
    <w:p w14:paraId="0017C409" w14:textId="6BE9DD34" w:rsidR="00923C47" w:rsidRPr="00014EF4" w:rsidRDefault="00990105" w:rsidP="00386B99">
      <w:pPr>
        <w:pStyle w:val="captions"/>
        <w:rPr>
          <w:rFonts w:cs="Times New Roman"/>
          <w:b w:val="0"/>
          <w:i w:val="0"/>
          <w:sz w:val="24"/>
          <w:szCs w:val="24"/>
        </w:rPr>
      </w:pPr>
      <w:r w:rsidRPr="006941F2">
        <w:rPr>
          <w:rStyle w:val="Heading2Char"/>
          <w:rFonts w:ascii="Times New Roman" w:hAnsi="Times New Roman" w:cs="Times New Roman"/>
          <w:i w:val="0"/>
          <w:color w:val="auto"/>
          <w:sz w:val="24"/>
          <w:szCs w:val="24"/>
        </w:rPr>
        <w:lastRenderedPageBreak/>
        <w:t>Supplemental Table 3</w:t>
      </w:r>
      <w:r>
        <w:rPr>
          <w:rFonts w:eastAsiaTheme="minorHAnsi" w:cs="Times New Roman"/>
          <w:i w:val="0"/>
          <w:iCs w:val="0"/>
          <w:color w:val="auto"/>
          <w:sz w:val="24"/>
          <w:szCs w:val="24"/>
        </w:rPr>
        <w:t xml:space="preserve"> </w:t>
      </w:r>
      <w:r w:rsidR="00923C47" w:rsidRPr="00014EF4">
        <w:rPr>
          <w:rFonts w:cs="Times New Roman"/>
          <w:b w:val="0"/>
          <w:i w:val="0"/>
          <w:sz w:val="24"/>
          <w:szCs w:val="24"/>
        </w:rPr>
        <w:t>Parameter estimates for final peripheral neuropathy score model. SD is the standard deviation of the base logit parameter’s interindividual variability and RSE% is the percent relative standard error of the parameter estimate. A proportional odds model was used to model ordered categories: normal = 0, minimal = 1, modest = 2, and severe = 3. See Supplemental Methods for more details on structural and stochastic models.</w:t>
      </w:r>
    </w:p>
    <w:tbl>
      <w:tblPr>
        <w:tblStyle w:val="TableGrid"/>
        <w:tblW w:w="0" w:type="auto"/>
        <w:tblLook w:val="04A0" w:firstRow="1" w:lastRow="0" w:firstColumn="1" w:lastColumn="0" w:noHBand="0" w:noVBand="1"/>
      </w:tblPr>
      <w:tblGrid>
        <w:gridCol w:w="5035"/>
        <w:gridCol w:w="2250"/>
        <w:gridCol w:w="2065"/>
      </w:tblGrid>
      <w:tr w:rsidR="00923C47" w:rsidRPr="00014EF4" w14:paraId="71042744" w14:textId="77777777" w:rsidTr="00E45606">
        <w:tc>
          <w:tcPr>
            <w:tcW w:w="5035" w:type="dxa"/>
          </w:tcPr>
          <w:p w14:paraId="2AC84BC3" w14:textId="77777777" w:rsidR="00923C47" w:rsidRPr="00014EF4" w:rsidRDefault="00923C47" w:rsidP="00386B99">
            <w:pPr>
              <w:rPr>
                <w:rFonts w:ascii="Times New Roman" w:hAnsi="Times New Roman" w:cs="Times New Roman"/>
                <w:b/>
              </w:rPr>
            </w:pPr>
            <w:r w:rsidRPr="00014EF4">
              <w:rPr>
                <w:rFonts w:ascii="Times New Roman" w:hAnsi="Times New Roman" w:cs="Times New Roman"/>
                <w:b/>
              </w:rPr>
              <w:t>Parameter (units)</w:t>
            </w:r>
          </w:p>
        </w:tc>
        <w:tc>
          <w:tcPr>
            <w:tcW w:w="2250" w:type="dxa"/>
          </w:tcPr>
          <w:p w14:paraId="610F498C" w14:textId="77777777" w:rsidR="00923C47" w:rsidRPr="00014EF4" w:rsidRDefault="00923C47" w:rsidP="00386B99">
            <w:pPr>
              <w:rPr>
                <w:rFonts w:ascii="Times New Roman" w:hAnsi="Times New Roman" w:cs="Times New Roman"/>
                <w:b/>
              </w:rPr>
            </w:pPr>
            <w:r w:rsidRPr="00014EF4">
              <w:rPr>
                <w:rFonts w:ascii="Times New Roman" w:hAnsi="Times New Roman" w:cs="Times New Roman"/>
                <w:b/>
              </w:rPr>
              <w:t>Estimate (RSE %)</w:t>
            </w:r>
          </w:p>
        </w:tc>
        <w:tc>
          <w:tcPr>
            <w:tcW w:w="2065" w:type="dxa"/>
          </w:tcPr>
          <w:p w14:paraId="22855B16" w14:textId="77777777" w:rsidR="00923C47" w:rsidRPr="00014EF4" w:rsidRDefault="00923C47" w:rsidP="00386B99">
            <w:pPr>
              <w:rPr>
                <w:rFonts w:ascii="Times New Roman" w:hAnsi="Times New Roman" w:cs="Times New Roman"/>
                <w:b/>
              </w:rPr>
            </w:pPr>
            <w:r w:rsidRPr="00014EF4">
              <w:rPr>
                <w:rFonts w:ascii="Times New Roman" w:hAnsi="Times New Roman" w:cs="Times New Roman"/>
                <w:b/>
              </w:rPr>
              <w:t xml:space="preserve">SD (RSE) </w:t>
            </w:r>
          </w:p>
        </w:tc>
      </w:tr>
      <w:tr w:rsidR="00923C47" w:rsidRPr="00014EF4" w14:paraId="51B347B2" w14:textId="77777777" w:rsidTr="00E45606">
        <w:tc>
          <w:tcPr>
            <w:tcW w:w="5035" w:type="dxa"/>
          </w:tcPr>
          <w:p w14:paraId="47635875" w14:textId="77777777" w:rsidR="00923C47" w:rsidRPr="00014EF4" w:rsidRDefault="00923C47" w:rsidP="00393591">
            <w:pPr>
              <w:rPr>
                <w:rFonts w:ascii="Times New Roman" w:hAnsi="Times New Roman" w:cs="Times New Roman"/>
              </w:rPr>
            </w:pPr>
            <w:r w:rsidRPr="00014EF4">
              <w:rPr>
                <w:rFonts w:ascii="Times New Roman" w:hAnsi="Times New Roman" w:cs="Times New Roman"/>
              </w:rPr>
              <w:t xml:space="preserve">Base logit value for score </w:t>
            </w:r>
            <m:oMath>
              <m:r>
                <w:rPr>
                  <w:rFonts w:ascii="Cambria Math" w:hAnsi="Cambria Math" w:cs="Times New Roman"/>
                </w:rPr>
                <m:t>≥</m:t>
              </m:r>
            </m:oMath>
            <w:r w:rsidRPr="00014EF4">
              <w:rPr>
                <w:rFonts w:ascii="Times New Roman" w:eastAsiaTheme="minorEastAsia" w:hAnsi="Times New Roman" w:cs="Times New Roman"/>
              </w:rPr>
              <w:t xml:space="preserve"> minimal,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p>
        </w:tc>
        <w:tc>
          <w:tcPr>
            <w:tcW w:w="2250" w:type="dxa"/>
          </w:tcPr>
          <w:p w14:paraId="49456AFA" w14:textId="6C3FDC2F" w:rsidR="00923C47" w:rsidRPr="00014EF4" w:rsidRDefault="00923C47" w:rsidP="00393591">
            <w:pPr>
              <w:rPr>
                <w:rFonts w:ascii="Times New Roman" w:hAnsi="Times New Roman" w:cs="Times New Roman"/>
              </w:rPr>
            </w:pPr>
            <w:r w:rsidRPr="00014EF4">
              <w:rPr>
                <w:rFonts w:ascii="Times New Roman" w:hAnsi="Times New Roman" w:cs="Times New Roman"/>
              </w:rPr>
              <w:t>-1.</w:t>
            </w:r>
            <w:r w:rsidR="008B44CB">
              <w:rPr>
                <w:rFonts w:ascii="Times New Roman" w:hAnsi="Times New Roman" w:cs="Times New Roman"/>
              </w:rPr>
              <w:t>9</w:t>
            </w:r>
            <w:r w:rsidRPr="00014EF4">
              <w:rPr>
                <w:rFonts w:ascii="Times New Roman" w:hAnsi="Times New Roman" w:cs="Times New Roman"/>
              </w:rPr>
              <w:t xml:space="preserve"> (</w:t>
            </w:r>
            <w:r w:rsidR="008B44CB">
              <w:rPr>
                <w:rFonts w:ascii="Times New Roman" w:hAnsi="Times New Roman" w:cs="Times New Roman"/>
              </w:rPr>
              <w:t>18</w:t>
            </w:r>
            <w:r w:rsidRPr="00014EF4">
              <w:rPr>
                <w:rFonts w:ascii="Times New Roman" w:hAnsi="Times New Roman" w:cs="Times New Roman"/>
              </w:rPr>
              <w:t>)</w:t>
            </w:r>
          </w:p>
        </w:tc>
        <w:tc>
          <w:tcPr>
            <w:tcW w:w="2065" w:type="dxa"/>
            <w:vMerge w:val="restart"/>
          </w:tcPr>
          <w:p w14:paraId="0725D6EF" w14:textId="2D7279E6" w:rsidR="00923C47" w:rsidRPr="00014EF4" w:rsidRDefault="00923C47" w:rsidP="00386B99">
            <w:pPr>
              <w:rPr>
                <w:rFonts w:ascii="Times New Roman" w:hAnsi="Times New Roman" w:cs="Times New Roman"/>
              </w:rPr>
            </w:pPr>
            <w:r w:rsidRPr="00014EF4">
              <w:rPr>
                <w:rFonts w:ascii="Times New Roman" w:hAnsi="Times New Roman" w:cs="Times New Roman"/>
              </w:rPr>
              <w:t>1.</w:t>
            </w:r>
            <w:r w:rsidR="00ED23FB">
              <w:rPr>
                <w:rFonts w:ascii="Times New Roman" w:hAnsi="Times New Roman" w:cs="Times New Roman"/>
              </w:rPr>
              <w:t>9</w:t>
            </w:r>
            <w:r w:rsidRPr="00014EF4">
              <w:rPr>
                <w:rFonts w:ascii="Times New Roman" w:hAnsi="Times New Roman" w:cs="Times New Roman"/>
              </w:rPr>
              <w:t xml:space="preserve"> (1</w:t>
            </w:r>
            <w:r w:rsidR="00ED23FB">
              <w:rPr>
                <w:rFonts w:ascii="Times New Roman" w:hAnsi="Times New Roman" w:cs="Times New Roman"/>
              </w:rPr>
              <w:t>0</w:t>
            </w:r>
            <w:r w:rsidRPr="00014EF4">
              <w:rPr>
                <w:rFonts w:ascii="Times New Roman" w:hAnsi="Times New Roman" w:cs="Times New Roman"/>
              </w:rPr>
              <w:t>)</w:t>
            </w:r>
          </w:p>
        </w:tc>
      </w:tr>
      <w:tr w:rsidR="00923C47" w:rsidRPr="00014EF4" w14:paraId="78B6FD20" w14:textId="77777777" w:rsidTr="00E45606">
        <w:tc>
          <w:tcPr>
            <w:tcW w:w="5035" w:type="dxa"/>
          </w:tcPr>
          <w:p w14:paraId="65D24C55" w14:textId="77777777" w:rsidR="00923C47" w:rsidRPr="00014EF4" w:rsidRDefault="00923C47" w:rsidP="00393591">
            <w:pPr>
              <w:rPr>
                <w:rFonts w:ascii="Times New Roman" w:hAnsi="Times New Roman" w:cs="Times New Roman"/>
              </w:rPr>
            </w:pPr>
            <w:r w:rsidRPr="00014EF4">
              <w:rPr>
                <w:rFonts w:ascii="Times New Roman" w:hAnsi="Times New Roman" w:cs="Times New Roman"/>
              </w:rPr>
              <w:t xml:space="preserve">Additive base logit value for score </w:t>
            </w:r>
            <m:oMath>
              <m:r>
                <w:rPr>
                  <w:rFonts w:ascii="Cambria Math" w:hAnsi="Cambria Math" w:cs="Times New Roman"/>
                </w:rPr>
                <m:t>≥</m:t>
              </m:r>
            </m:oMath>
            <w:r w:rsidRPr="00014EF4">
              <w:rPr>
                <w:rFonts w:ascii="Times New Roman" w:hAnsi="Times New Roman" w:cs="Times New Roman"/>
              </w:rPr>
              <w:t xml:space="preserve"> modest,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p>
        </w:tc>
        <w:tc>
          <w:tcPr>
            <w:tcW w:w="2250" w:type="dxa"/>
          </w:tcPr>
          <w:p w14:paraId="4FC73C75" w14:textId="7AB3806C" w:rsidR="00923C47" w:rsidRPr="00014EF4" w:rsidRDefault="00923C47" w:rsidP="00393591">
            <w:pPr>
              <w:rPr>
                <w:rFonts w:ascii="Times New Roman" w:hAnsi="Times New Roman" w:cs="Times New Roman"/>
              </w:rPr>
            </w:pPr>
            <w:r w:rsidRPr="00014EF4">
              <w:rPr>
                <w:rFonts w:ascii="Times New Roman" w:hAnsi="Times New Roman" w:cs="Times New Roman"/>
              </w:rPr>
              <w:t>-1.</w:t>
            </w:r>
            <w:r w:rsidR="008B44CB">
              <w:rPr>
                <w:rFonts w:ascii="Times New Roman" w:hAnsi="Times New Roman" w:cs="Times New Roman"/>
              </w:rPr>
              <w:t>2</w:t>
            </w:r>
            <w:r w:rsidRPr="00014EF4">
              <w:rPr>
                <w:rFonts w:ascii="Times New Roman" w:hAnsi="Times New Roman" w:cs="Times New Roman"/>
              </w:rPr>
              <w:t xml:space="preserve"> (</w:t>
            </w:r>
            <w:r w:rsidR="008B44CB">
              <w:rPr>
                <w:rFonts w:ascii="Times New Roman" w:hAnsi="Times New Roman" w:cs="Times New Roman"/>
              </w:rPr>
              <w:t>9</w:t>
            </w:r>
            <w:r w:rsidRPr="00014EF4">
              <w:rPr>
                <w:rFonts w:ascii="Times New Roman" w:hAnsi="Times New Roman" w:cs="Times New Roman"/>
              </w:rPr>
              <w:t>)</w:t>
            </w:r>
          </w:p>
        </w:tc>
        <w:tc>
          <w:tcPr>
            <w:tcW w:w="2065" w:type="dxa"/>
            <w:vMerge/>
          </w:tcPr>
          <w:p w14:paraId="29673DB4" w14:textId="77777777" w:rsidR="00923C47" w:rsidRPr="00014EF4" w:rsidRDefault="00923C47" w:rsidP="00386B99">
            <w:pPr>
              <w:rPr>
                <w:rFonts w:ascii="Times New Roman" w:hAnsi="Times New Roman" w:cs="Times New Roman"/>
              </w:rPr>
            </w:pPr>
          </w:p>
        </w:tc>
      </w:tr>
      <w:tr w:rsidR="00923C47" w:rsidRPr="00014EF4" w14:paraId="262AE414" w14:textId="77777777" w:rsidTr="00E45606">
        <w:tc>
          <w:tcPr>
            <w:tcW w:w="5035" w:type="dxa"/>
          </w:tcPr>
          <w:p w14:paraId="1F19B38E" w14:textId="77777777" w:rsidR="00923C47" w:rsidRPr="00014EF4" w:rsidRDefault="00923C47" w:rsidP="00393591">
            <w:pPr>
              <w:rPr>
                <w:rFonts w:ascii="Times New Roman" w:hAnsi="Times New Roman" w:cs="Times New Roman"/>
              </w:rPr>
            </w:pPr>
            <w:r w:rsidRPr="00014EF4">
              <w:rPr>
                <w:rFonts w:ascii="Times New Roman" w:hAnsi="Times New Roman" w:cs="Times New Roman"/>
              </w:rPr>
              <w:t xml:space="preserve">Additive base logit value for score = severe,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3</m:t>
                  </m:r>
                </m:sub>
              </m:sSub>
            </m:oMath>
          </w:p>
        </w:tc>
        <w:tc>
          <w:tcPr>
            <w:tcW w:w="2250" w:type="dxa"/>
          </w:tcPr>
          <w:p w14:paraId="380A1D09" w14:textId="77777777" w:rsidR="00923C47" w:rsidRPr="00014EF4" w:rsidRDefault="00923C47" w:rsidP="00393591">
            <w:pPr>
              <w:rPr>
                <w:rFonts w:ascii="Times New Roman" w:hAnsi="Times New Roman" w:cs="Times New Roman"/>
              </w:rPr>
            </w:pPr>
            <w:r w:rsidRPr="00014EF4">
              <w:rPr>
                <w:rFonts w:ascii="Times New Roman" w:hAnsi="Times New Roman" w:cs="Times New Roman"/>
              </w:rPr>
              <w:t>-1.9 (9)</w:t>
            </w:r>
          </w:p>
        </w:tc>
        <w:tc>
          <w:tcPr>
            <w:tcW w:w="2065" w:type="dxa"/>
            <w:vMerge/>
          </w:tcPr>
          <w:p w14:paraId="7708C2ED" w14:textId="77777777" w:rsidR="00923C47" w:rsidRPr="00014EF4" w:rsidRDefault="00923C47" w:rsidP="00386B99">
            <w:pPr>
              <w:rPr>
                <w:rFonts w:ascii="Times New Roman" w:hAnsi="Times New Roman" w:cs="Times New Roman"/>
              </w:rPr>
            </w:pPr>
          </w:p>
        </w:tc>
      </w:tr>
      <w:tr w:rsidR="00923C47" w:rsidRPr="00014EF4" w14:paraId="3144C39E" w14:textId="77777777" w:rsidTr="00E45606">
        <w:tc>
          <w:tcPr>
            <w:tcW w:w="5035" w:type="dxa"/>
          </w:tcPr>
          <w:p w14:paraId="567C8EFC" w14:textId="77777777" w:rsidR="00923C47" w:rsidRPr="00014EF4" w:rsidRDefault="00E90ACF" w:rsidP="00393591">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e0</m:t>
                  </m:r>
                </m:sub>
              </m:sSub>
            </m:oMath>
            <w:r w:rsidR="00923C47" w:rsidRPr="00014EF4">
              <w:rPr>
                <w:rFonts w:ascii="Times New Roman" w:hAnsi="Times New Roman" w:cs="Times New Roman"/>
              </w:rPr>
              <w:t xml:space="preserve"> (1/h)</w:t>
            </w:r>
          </w:p>
        </w:tc>
        <w:tc>
          <w:tcPr>
            <w:tcW w:w="2250" w:type="dxa"/>
          </w:tcPr>
          <w:p w14:paraId="03862A79" w14:textId="53529789" w:rsidR="00923C47" w:rsidRPr="00014EF4" w:rsidRDefault="00923C47" w:rsidP="00386B99">
            <w:pPr>
              <w:rPr>
                <w:rFonts w:ascii="Times New Roman" w:hAnsi="Times New Roman" w:cs="Times New Roman"/>
              </w:rPr>
            </w:pPr>
            <w:r w:rsidRPr="00014EF4">
              <w:rPr>
                <w:rFonts w:ascii="Times New Roman" w:hAnsi="Times New Roman" w:cs="Times New Roman"/>
              </w:rPr>
              <w:t>5.</w:t>
            </w:r>
            <w:r w:rsidR="008B44CB">
              <w:rPr>
                <w:rFonts w:ascii="Times New Roman" w:hAnsi="Times New Roman" w:cs="Times New Roman"/>
              </w:rPr>
              <w:t>2</w:t>
            </w:r>
            <w:r w:rsidRPr="00014EF4">
              <w:rPr>
                <w:rFonts w:ascii="Times New Roman" w:hAnsi="Times New Roman" w:cs="Times New Roman"/>
              </w:rPr>
              <w:t>E-5 (3)</w:t>
            </w:r>
          </w:p>
        </w:tc>
        <w:tc>
          <w:tcPr>
            <w:tcW w:w="2065" w:type="dxa"/>
          </w:tcPr>
          <w:p w14:paraId="4D181E07" w14:textId="77777777" w:rsidR="00923C47" w:rsidRPr="00014EF4" w:rsidRDefault="00923C47" w:rsidP="00386B99">
            <w:pPr>
              <w:rPr>
                <w:rFonts w:ascii="Times New Roman" w:hAnsi="Times New Roman" w:cs="Times New Roman"/>
              </w:rPr>
            </w:pPr>
          </w:p>
        </w:tc>
      </w:tr>
      <w:tr w:rsidR="00923C47" w:rsidRPr="00014EF4" w14:paraId="6D782A88" w14:textId="77777777" w:rsidTr="00E45606">
        <w:tc>
          <w:tcPr>
            <w:tcW w:w="5035" w:type="dxa"/>
          </w:tcPr>
          <w:p w14:paraId="36114C68" w14:textId="228C369E" w:rsidR="00923C47"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PN</m:t>
                  </m:r>
                </m:sub>
              </m:sSub>
            </m:oMath>
            <w:r w:rsidR="00923C47" w:rsidRPr="00014EF4">
              <w:rPr>
                <w:rFonts w:ascii="Times New Roman" w:hAnsi="Times New Roman" w:cs="Times New Roman"/>
              </w:rPr>
              <w:t xml:space="preserve"> </w:t>
            </w:r>
          </w:p>
        </w:tc>
        <w:tc>
          <w:tcPr>
            <w:tcW w:w="2250" w:type="dxa"/>
          </w:tcPr>
          <w:p w14:paraId="50ACFA9C" w14:textId="4D12381B" w:rsidR="00923C47" w:rsidRPr="00014EF4" w:rsidRDefault="00923C47" w:rsidP="00386B99">
            <w:pPr>
              <w:rPr>
                <w:rFonts w:ascii="Times New Roman" w:hAnsi="Times New Roman" w:cs="Times New Roman"/>
              </w:rPr>
            </w:pPr>
            <w:r w:rsidRPr="00014EF4">
              <w:rPr>
                <w:rFonts w:ascii="Times New Roman" w:hAnsi="Times New Roman" w:cs="Times New Roman"/>
              </w:rPr>
              <w:t>3.</w:t>
            </w:r>
            <w:r w:rsidR="008B44CB">
              <w:rPr>
                <w:rFonts w:ascii="Times New Roman" w:hAnsi="Times New Roman" w:cs="Times New Roman"/>
              </w:rPr>
              <w:t>9</w:t>
            </w:r>
            <w:r w:rsidRPr="00014EF4">
              <w:rPr>
                <w:rFonts w:ascii="Times New Roman" w:hAnsi="Times New Roman" w:cs="Times New Roman"/>
              </w:rPr>
              <w:t xml:space="preserve"> (</w:t>
            </w:r>
            <w:r w:rsidR="008B44CB">
              <w:rPr>
                <w:rFonts w:ascii="Times New Roman" w:hAnsi="Times New Roman" w:cs="Times New Roman"/>
              </w:rPr>
              <w:t>31</w:t>
            </w:r>
            <w:r w:rsidRPr="00014EF4">
              <w:rPr>
                <w:rFonts w:ascii="Times New Roman" w:hAnsi="Times New Roman" w:cs="Times New Roman"/>
              </w:rPr>
              <w:t>)</w:t>
            </w:r>
          </w:p>
        </w:tc>
        <w:tc>
          <w:tcPr>
            <w:tcW w:w="2065" w:type="dxa"/>
          </w:tcPr>
          <w:p w14:paraId="171721CB" w14:textId="77777777" w:rsidR="00923C47" w:rsidRPr="00014EF4" w:rsidRDefault="00923C47" w:rsidP="00386B99">
            <w:pPr>
              <w:rPr>
                <w:rFonts w:ascii="Times New Roman" w:hAnsi="Times New Roman" w:cs="Times New Roman"/>
              </w:rPr>
            </w:pPr>
          </w:p>
        </w:tc>
      </w:tr>
      <w:tr w:rsidR="00923C47" w:rsidRPr="00014EF4" w14:paraId="2EA5619A" w14:textId="77777777" w:rsidTr="00E45606">
        <w:tc>
          <w:tcPr>
            <w:tcW w:w="5035" w:type="dxa"/>
          </w:tcPr>
          <w:p w14:paraId="36048FAE" w14:textId="4EFF3A80" w:rsidR="00923C47"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E50</m:t>
                      </m:r>
                    </m:sub>
                  </m:sSub>
                </m:e>
                <m:sub>
                  <m:r>
                    <w:rPr>
                      <w:rFonts w:ascii="Cambria Math" w:eastAsia="Times New Roman" w:hAnsi="Cambria Math" w:cs="Times New Roman"/>
                      <w:color w:val="000000"/>
                    </w:rPr>
                    <m:t>PN</m:t>
                  </m:r>
                </m:sub>
              </m:sSub>
            </m:oMath>
            <w:r w:rsidR="00923C47" w:rsidRPr="00014EF4" w:rsidDel="00D9092F">
              <w:rPr>
                <w:rFonts w:ascii="Times New Roman" w:hAnsi="Times New Roman" w:cs="Times New Roman"/>
              </w:rPr>
              <w:t xml:space="preserve"> </w:t>
            </w:r>
            <w:r w:rsidR="00923C47" w:rsidRPr="00014EF4">
              <w:rPr>
                <w:rFonts w:ascii="Times New Roman" w:hAnsi="Times New Roman" w:cs="Times New Roman"/>
              </w:rPr>
              <w:t>(mg/L)</w:t>
            </w:r>
          </w:p>
        </w:tc>
        <w:tc>
          <w:tcPr>
            <w:tcW w:w="2250" w:type="dxa"/>
          </w:tcPr>
          <w:p w14:paraId="6808CBD1" w14:textId="30742069" w:rsidR="00923C47" w:rsidRPr="00014EF4" w:rsidRDefault="00923C47" w:rsidP="00386B99">
            <w:pPr>
              <w:rPr>
                <w:rFonts w:ascii="Times New Roman" w:hAnsi="Times New Roman" w:cs="Times New Roman"/>
              </w:rPr>
            </w:pPr>
            <w:r w:rsidRPr="00014EF4">
              <w:rPr>
                <w:rFonts w:ascii="Times New Roman" w:hAnsi="Times New Roman" w:cs="Times New Roman"/>
              </w:rPr>
              <w:t>1.3 (3</w:t>
            </w:r>
            <w:r w:rsidR="00ED23FB">
              <w:rPr>
                <w:rFonts w:ascii="Times New Roman" w:hAnsi="Times New Roman" w:cs="Times New Roman"/>
              </w:rPr>
              <w:t>8</w:t>
            </w:r>
            <w:r w:rsidRPr="00014EF4">
              <w:rPr>
                <w:rFonts w:ascii="Times New Roman" w:hAnsi="Times New Roman" w:cs="Times New Roman"/>
              </w:rPr>
              <w:t>)</w:t>
            </w:r>
          </w:p>
        </w:tc>
        <w:tc>
          <w:tcPr>
            <w:tcW w:w="2065" w:type="dxa"/>
          </w:tcPr>
          <w:p w14:paraId="34800750" w14:textId="77777777" w:rsidR="00923C47" w:rsidRPr="00014EF4" w:rsidRDefault="00923C47" w:rsidP="00386B99">
            <w:pPr>
              <w:rPr>
                <w:rFonts w:ascii="Times New Roman" w:hAnsi="Times New Roman" w:cs="Times New Roman"/>
              </w:rPr>
            </w:pPr>
          </w:p>
        </w:tc>
      </w:tr>
      <w:tr w:rsidR="00923C47" w:rsidRPr="00014EF4" w14:paraId="7D99CFCF" w14:textId="77777777" w:rsidTr="00E45606">
        <w:tc>
          <w:tcPr>
            <w:tcW w:w="5035" w:type="dxa"/>
          </w:tcPr>
          <w:p w14:paraId="199E2D1C" w14:textId="77777777" w:rsidR="00923C47" w:rsidRPr="00014EF4" w:rsidRDefault="00E90ACF" w:rsidP="00393591">
            <w:pPr>
              <w:rPr>
                <w:rFonts w:ascii="Times New Roman" w:hAnsi="Times New Roman" w:cs="Times New Roman"/>
              </w:rPr>
            </w:pPr>
            <m:oMathPara>
              <m:oMathParaPr>
                <m:jc m:val="left"/>
              </m:oMathPara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PN</m:t>
                    </m:r>
                  </m:sub>
                </m:sSub>
              </m:oMath>
            </m:oMathPara>
          </w:p>
        </w:tc>
        <w:tc>
          <w:tcPr>
            <w:tcW w:w="2250" w:type="dxa"/>
          </w:tcPr>
          <w:p w14:paraId="64354EAE" w14:textId="569FF753" w:rsidR="00923C47" w:rsidRPr="00014EF4" w:rsidRDefault="00ED23FB" w:rsidP="00393591">
            <w:pPr>
              <w:rPr>
                <w:rFonts w:ascii="Times New Roman" w:hAnsi="Times New Roman" w:cs="Times New Roman"/>
              </w:rPr>
            </w:pPr>
            <w:r>
              <w:rPr>
                <w:rFonts w:ascii="Times New Roman" w:hAnsi="Times New Roman" w:cs="Times New Roman"/>
              </w:rPr>
              <w:t>2.4</w:t>
            </w:r>
            <w:r w:rsidR="00923C47" w:rsidRPr="00014EF4">
              <w:rPr>
                <w:rFonts w:ascii="Times New Roman" w:hAnsi="Times New Roman" w:cs="Times New Roman"/>
              </w:rPr>
              <w:t xml:space="preserve"> (3</w:t>
            </w:r>
            <w:r>
              <w:rPr>
                <w:rFonts w:ascii="Times New Roman" w:hAnsi="Times New Roman" w:cs="Times New Roman"/>
              </w:rPr>
              <w:t>9</w:t>
            </w:r>
            <w:r w:rsidR="00923C47" w:rsidRPr="00014EF4">
              <w:rPr>
                <w:rFonts w:ascii="Times New Roman" w:hAnsi="Times New Roman" w:cs="Times New Roman"/>
              </w:rPr>
              <w:t>)</w:t>
            </w:r>
          </w:p>
        </w:tc>
        <w:tc>
          <w:tcPr>
            <w:tcW w:w="2065" w:type="dxa"/>
          </w:tcPr>
          <w:p w14:paraId="6C185C4C" w14:textId="77777777" w:rsidR="00923C47" w:rsidRPr="00014EF4" w:rsidRDefault="00923C47" w:rsidP="00386B99">
            <w:pPr>
              <w:rPr>
                <w:rFonts w:ascii="Times New Roman" w:hAnsi="Times New Roman" w:cs="Times New Roman"/>
              </w:rPr>
            </w:pPr>
          </w:p>
        </w:tc>
      </w:tr>
    </w:tbl>
    <w:p w14:paraId="408B0A01" w14:textId="681ED363" w:rsidR="00923C47" w:rsidRPr="00014EF4" w:rsidRDefault="00923C47" w:rsidP="00393591">
      <w:pPr>
        <w:rPr>
          <w:rFonts w:ascii="Times New Roman" w:eastAsiaTheme="majorEastAsia" w:hAnsi="Times New Roman" w:cs="Times New Roman"/>
          <w:b/>
          <w:iCs/>
          <w:color w:val="000000" w:themeColor="text1"/>
        </w:rPr>
      </w:pPr>
      <w:r w:rsidRPr="00014EF4">
        <w:rPr>
          <w:rFonts w:ascii="Times New Roman" w:hAnsi="Times New Roman" w:cs="Times New Roman"/>
          <w:i/>
        </w:rPr>
        <w:br w:type="page"/>
      </w:r>
    </w:p>
    <w:p w14:paraId="7B61FAE8" w14:textId="4803FADE" w:rsidR="00A67BF3" w:rsidRPr="00014EF4" w:rsidRDefault="00990105" w:rsidP="00393591">
      <w:pPr>
        <w:pStyle w:val="captions"/>
        <w:rPr>
          <w:rFonts w:cs="Times New Roman"/>
          <w:i w:val="0"/>
          <w:sz w:val="24"/>
          <w:szCs w:val="24"/>
        </w:rPr>
      </w:pPr>
      <w:r w:rsidRPr="006941F2">
        <w:rPr>
          <w:rStyle w:val="Heading2Char"/>
          <w:rFonts w:ascii="Times New Roman" w:hAnsi="Times New Roman" w:cs="Times New Roman"/>
          <w:i w:val="0"/>
          <w:color w:val="auto"/>
          <w:sz w:val="24"/>
          <w:szCs w:val="24"/>
        </w:rPr>
        <w:lastRenderedPageBreak/>
        <w:t>Supplemental Table 4</w:t>
      </w:r>
      <w:r>
        <w:rPr>
          <w:rFonts w:eastAsiaTheme="minorHAnsi" w:cs="Times New Roman"/>
          <w:i w:val="0"/>
          <w:iCs w:val="0"/>
          <w:color w:val="auto"/>
          <w:sz w:val="24"/>
          <w:szCs w:val="24"/>
        </w:rPr>
        <w:t xml:space="preserve"> </w:t>
      </w:r>
      <w:r w:rsidR="00A67BF3" w:rsidRPr="00014EF4">
        <w:rPr>
          <w:rFonts w:eastAsiaTheme="minorHAnsi" w:cs="Times New Roman"/>
          <w:b w:val="0"/>
          <w:i w:val="0"/>
          <w:iCs w:val="0"/>
          <w:color w:val="auto"/>
          <w:sz w:val="24"/>
          <w:szCs w:val="24"/>
        </w:rPr>
        <w:t>Differential equations that describe the final hemoglobin level model</w:t>
      </w:r>
    </w:p>
    <w:tbl>
      <w:tblPr>
        <w:tblStyle w:val="TableGrid"/>
        <w:tblW w:w="9535" w:type="dxa"/>
        <w:tblLook w:val="04A0" w:firstRow="1" w:lastRow="0" w:firstColumn="1" w:lastColumn="0" w:noHBand="0" w:noVBand="1"/>
      </w:tblPr>
      <w:tblGrid>
        <w:gridCol w:w="3325"/>
        <w:gridCol w:w="6210"/>
      </w:tblGrid>
      <w:tr w:rsidR="00A67BF3" w:rsidRPr="00014EF4" w14:paraId="02254BBC" w14:textId="77777777" w:rsidTr="005B6BF8">
        <w:tc>
          <w:tcPr>
            <w:tcW w:w="3325" w:type="dxa"/>
          </w:tcPr>
          <w:p w14:paraId="78E39E7F"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Hemoglobin compartment (</w:t>
            </w:r>
            <m:oMath>
              <m:r>
                <w:rPr>
                  <w:rFonts w:ascii="Cambria Math" w:eastAsia="Times New Roman" w:hAnsi="Cambria Math" w:cs="Times New Roman"/>
                </w:rPr>
                <m:t>Hb</m:t>
              </m:r>
            </m:oMath>
            <w:r w:rsidRPr="00014EF4">
              <w:rPr>
                <w:rFonts w:ascii="Times New Roman" w:hAnsi="Times New Roman" w:cs="Times New Roman"/>
              </w:rPr>
              <w:t>)</w:t>
            </w:r>
          </w:p>
        </w:tc>
        <w:tc>
          <w:tcPr>
            <w:tcW w:w="6210" w:type="dxa"/>
          </w:tcPr>
          <w:p w14:paraId="4F447708" w14:textId="1D00B55C" w:rsidR="00A67BF3" w:rsidRPr="00014EF4" w:rsidRDefault="00A67BF3" w:rsidP="00386B99">
            <w:pPr>
              <w:tabs>
                <w:tab w:val="left" w:pos="5670"/>
              </w:tabs>
              <w:jc w:val="both"/>
              <w:rPr>
                <w:rFonts w:ascii="Times New Roman" w:eastAsia="Times New Roman" w:hAnsi="Times New Roman" w:cs="Times New Roman"/>
              </w:rPr>
            </w:pPr>
            <w:r w:rsidRPr="00014EF4">
              <w:rPr>
                <w:rFonts w:ascii="Times New Roman" w:eastAsia="Times New Roman" w:hAnsi="Times New Roman" w:cs="Times New Roman"/>
              </w:rPr>
              <w:t xml:space="preserve">  </w:t>
            </w:r>
            <m:oMath>
              <m:r>
                <m:rPr>
                  <m:sty m:val="p"/>
                </m:rPr>
                <w:rPr>
                  <w:rFonts w:ascii="Cambria Math" w:eastAsia="Times New Roman" w:hAnsi="Cambria Math" w:cs="Times New Roman"/>
                </w:rPr>
                <w:br/>
              </m:r>
            </m:oMath>
            <m:oMathPara>
              <m:oMath>
                <m:f>
                  <m:fPr>
                    <m:ctrlPr>
                      <w:rPr>
                        <w:rFonts w:ascii="Cambria Math" w:eastAsia="Times New Roman" w:hAnsi="Cambria Math" w:cs="Times New Roman"/>
                        <w:i/>
                      </w:rPr>
                    </m:ctrlPr>
                  </m:fPr>
                  <m:num>
                    <m:r>
                      <w:rPr>
                        <w:rFonts w:ascii="Cambria Math" w:eastAsia="Times New Roman" w:hAnsi="Cambria Math" w:cs="Times New Roman"/>
                      </w:rPr>
                      <m:t>dHb</m:t>
                    </m:r>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in</m:t>
                    </m:r>
                  </m:sub>
                </m:sSub>
                <m:d>
                  <m:dPr>
                    <m:ctrlPr>
                      <w:rPr>
                        <w:rFonts w:ascii="Cambria Math" w:eastAsia="Times New Roman" w:hAnsi="Cambria Math" w:cs="Times New Roman"/>
                        <w:i/>
                      </w:rPr>
                    </m:ctrlPr>
                  </m:dPr>
                  <m:e>
                    <m:r>
                      <w:rPr>
                        <w:rFonts w:ascii="Cambria Math" w:eastAsia="Times New Roman" w:hAnsi="Cambria Math" w:cs="Times New Roman"/>
                      </w:rPr>
                      <m:t>1-</m:t>
                    </m:r>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Hb</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e>
                </m:d>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out</m:t>
                    </m:r>
                  </m:sub>
                </m:sSub>
                <m:r>
                  <w:rPr>
                    <w:rFonts w:ascii="Cambria Math" w:eastAsia="Times New Roman" w:hAnsi="Cambria Math" w:cs="Times New Roman"/>
                  </w:rPr>
                  <m:t xml:space="preserve">Hb + </m:t>
                </m:r>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rate</m:t>
                    </m:r>
                  </m:sub>
                </m:sSub>
                <m:r>
                  <w:rPr>
                    <w:rFonts w:ascii="Cambria Math" w:eastAsia="Times New Roman" w:hAnsi="Cambria Math" w:cs="Times New Roman"/>
                  </w:rPr>
                  <m:t>Hb(</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r>
                      <w:rPr>
                        <w:rFonts w:ascii="Cambria Math" w:eastAsia="Times New Roman" w:hAnsi="Cambria Math" w:cs="Times New Roman"/>
                      </w:rPr>
                      <m:t>-Hb</m:t>
                    </m:r>
                  </m:num>
                  <m:den>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den>
                </m:f>
                <m:r>
                  <w:rPr>
                    <w:rFonts w:ascii="Cambria Math" w:eastAsia="Times New Roman" w:hAnsi="Cambria Math" w:cs="Times New Roman"/>
                  </w:rPr>
                  <m:t>)</m:t>
                </m:r>
              </m:oMath>
            </m:oMathPara>
          </w:p>
          <w:p w14:paraId="1097425B" w14:textId="77777777" w:rsidR="00A67BF3" w:rsidRPr="00014EF4" w:rsidRDefault="00A67BF3" w:rsidP="00386B99">
            <w:pPr>
              <w:tabs>
                <w:tab w:val="left" w:pos="5670"/>
              </w:tabs>
              <w:jc w:val="both"/>
              <w:rPr>
                <w:rFonts w:ascii="Times New Roman" w:eastAsia="Times New Roman" w:hAnsi="Times New Roman" w:cs="Times New Roman"/>
              </w:rPr>
            </w:pPr>
          </w:p>
          <w:p w14:paraId="15D9455F" w14:textId="69E46D38" w:rsidR="00A67BF3" w:rsidRPr="00014EF4" w:rsidRDefault="00E90ACF" w:rsidP="00386B99">
            <w:pPr>
              <w:tabs>
                <w:tab w:val="left" w:pos="5670"/>
              </w:tabs>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Hb</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r>
                  <w:rPr>
                    <w:rFonts w:ascii="Cambria Math" w:eastAsia="Times New Roman" w:hAnsi="Cambria Math" w:cs="Times New Roman"/>
                    <w:color w:val="000000"/>
                  </w:rPr>
                  <m:t>=</m:t>
                </m:r>
                <m:f>
                  <m:fPr>
                    <m:ctrlPr>
                      <w:rPr>
                        <w:rFonts w:ascii="Cambria Math" w:eastAsia="Times New Roman" w:hAnsi="Cambria Math" w:cs="Times New Roman"/>
                        <w:i/>
                        <w:color w:val="000000"/>
                      </w:rPr>
                    </m:ctrlPr>
                  </m:fPr>
                  <m:num>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Hb</m:t>
                        </m:r>
                      </m:sub>
                    </m:sSub>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Hb</m:t>
                            </m:r>
                          </m:sub>
                        </m:sSub>
                      </m:sup>
                    </m:sSup>
                  </m:num>
                  <m:den>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Hb</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Hb</m:t>
                            </m:r>
                          </m:sub>
                        </m:sSub>
                      </m:sup>
                    </m:sSup>
                    <m:r>
                      <w:rPr>
                        <w:rFonts w:ascii="Cambria Math" w:eastAsia="Times New Roman" w:hAnsi="Cambria Math" w:cs="Times New Roman"/>
                        <w:color w:val="000000"/>
                      </w:rPr>
                      <m:t>+</m:t>
                    </m:r>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Hb</m:t>
                            </m:r>
                          </m:sub>
                        </m:sSub>
                      </m:sup>
                    </m:sSup>
                  </m:den>
                </m:f>
              </m:oMath>
            </m:oMathPara>
          </w:p>
          <w:p w14:paraId="4B471CB6" w14:textId="77777777" w:rsidR="00A67BF3" w:rsidRPr="00014EF4" w:rsidRDefault="00A67BF3" w:rsidP="00386B99">
            <w:pPr>
              <w:rPr>
                <w:rFonts w:ascii="Times New Roman" w:hAnsi="Times New Roman" w:cs="Times New Roman"/>
              </w:rPr>
            </w:pPr>
          </w:p>
        </w:tc>
      </w:tr>
    </w:tbl>
    <w:p w14:paraId="6BD72810" w14:textId="77777777" w:rsidR="00A67BF3" w:rsidRPr="00014EF4" w:rsidRDefault="00A67BF3" w:rsidP="00393591">
      <w:pPr>
        <w:rPr>
          <w:rFonts w:ascii="Times New Roman" w:hAnsi="Times New Roman" w:cs="Times New Roman"/>
        </w:rPr>
      </w:pPr>
    </w:p>
    <w:p w14:paraId="3828D391" w14:textId="2BA2E846" w:rsidR="00A67BF3" w:rsidRPr="00014EF4" w:rsidRDefault="00A67BF3" w:rsidP="00393591">
      <w:pPr>
        <w:rPr>
          <w:rFonts w:ascii="Times New Roman" w:hAnsi="Times New Roman" w:cs="Times New Roman"/>
        </w:rPr>
      </w:pPr>
      <m:oMath>
        <m:r>
          <w:rPr>
            <w:rFonts w:ascii="Cambria Math" w:eastAsia="Times New Roman" w:hAnsi="Cambria Math" w:cs="Times New Roman"/>
          </w:rPr>
          <m:t>Hb</m:t>
        </m:r>
      </m:oMath>
      <w:r w:rsidRPr="00014EF4">
        <w:rPr>
          <w:rFonts w:ascii="Times New Roman" w:hAnsi="Times New Roman" w:cs="Times New Roman"/>
        </w:rPr>
        <w:t>, hemoglobin level in response compartment</w:t>
      </w:r>
      <w:r w:rsidR="001345F6" w:rsidRPr="00014EF4">
        <w:rPr>
          <w:rFonts w:ascii="Times New Roman" w:hAnsi="Times New Roman" w:cs="Times New Roman"/>
        </w:rPr>
        <w:t xml:space="preserve"> (dependent variable); </w:t>
      </w:r>
    </w:p>
    <w:p w14:paraId="23B5905C" w14:textId="2D79F616" w:rsidR="001345F6" w:rsidRPr="00014EF4" w:rsidRDefault="001345F6" w:rsidP="00386B99">
      <w:pPr>
        <w:rPr>
          <w:rFonts w:ascii="Times New Roman" w:eastAsiaTheme="minorEastAsia" w:hAnsi="Times New Roman" w:cs="Times New Roman"/>
          <w:color w:val="000000"/>
        </w:rPr>
      </w:pPr>
      <m:oMath>
        <m:r>
          <w:rPr>
            <w:rFonts w:ascii="Cambria Math" w:hAnsi="Cambria Math" w:cs="Times New Roman"/>
          </w:rPr>
          <m:t>t</m:t>
        </m:r>
      </m:oMath>
      <w:r w:rsidRPr="00014EF4">
        <w:rPr>
          <w:rFonts w:ascii="Times New Roman" w:eastAsiaTheme="minorEastAsia" w:hAnsi="Times New Roman" w:cs="Times New Roman"/>
        </w:rPr>
        <w:t xml:space="preserve">, time after treatment initiation. </w:t>
      </w:r>
    </w:p>
    <w:p w14:paraId="114945DC" w14:textId="77777777" w:rsidR="00A67BF3" w:rsidRPr="00014EF4" w:rsidRDefault="00A67BF3" w:rsidP="00386B99">
      <w:pPr>
        <w:rPr>
          <w:rFonts w:ascii="Times New Roman" w:hAnsi="Times New Roman" w:cs="Times New Roman"/>
        </w:rPr>
      </w:pPr>
    </w:p>
    <w:p w14:paraId="4309B6C7"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Hb</m:t>
            </m:r>
          </m:e>
          <m:sub>
            <m:r>
              <w:rPr>
                <w:rFonts w:ascii="Cambria Math" w:eastAsia="Times New Roman" w:hAnsi="Cambria Math" w:cs="Times New Roman"/>
              </w:rPr>
              <m:t>0</m:t>
            </m:r>
          </m:sub>
        </m:sSub>
      </m:oMath>
      <w:r w:rsidR="00A67BF3" w:rsidRPr="00014EF4">
        <w:rPr>
          <w:rFonts w:ascii="Times New Roman" w:hAnsi="Times New Roman" w:cs="Times New Roman"/>
        </w:rPr>
        <w:t>, pretreatment hemoglobin level;</w:t>
      </w:r>
    </w:p>
    <w:p w14:paraId="66B5D06D"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out</m:t>
            </m:r>
          </m:sub>
        </m:sSub>
      </m:oMath>
      <w:r w:rsidR="00A67BF3" w:rsidRPr="00014EF4">
        <w:rPr>
          <w:rFonts w:ascii="Times New Roman" w:hAnsi="Times New Roman" w:cs="Times New Roman"/>
        </w:rPr>
        <w:t xml:space="preserve">, first order hemoglobin elimination rate constant; </w:t>
      </w:r>
    </w:p>
    <w:p w14:paraId="6809C128"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in</m:t>
            </m:r>
          </m:sub>
        </m:sSub>
      </m:oMath>
      <w:r w:rsidR="00A67BF3" w:rsidRPr="00014EF4">
        <w:rPr>
          <w:rFonts w:ascii="Times New Roman" w:hAnsi="Times New Roman" w:cs="Times New Roman"/>
        </w:rPr>
        <w:t>, zero-order hemoglobin synthesis rate constant, equals the product of Hb</w:t>
      </w:r>
      <w:r w:rsidR="00A67BF3" w:rsidRPr="00014EF4">
        <w:rPr>
          <w:rFonts w:ascii="Times New Roman" w:hAnsi="Times New Roman" w:cs="Times New Roman"/>
          <w:vertAlign w:val="subscript"/>
        </w:rPr>
        <w:t>0</w:t>
      </w:r>
      <w:r w:rsidR="00A67BF3" w:rsidRPr="00014EF4">
        <w:rPr>
          <w:rFonts w:ascii="Times New Roman" w:hAnsi="Times New Roman" w:cs="Times New Roman"/>
        </w:rPr>
        <w:t xml:space="preserve"> and k</w:t>
      </w:r>
      <w:r w:rsidR="00A67BF3" w:rsidRPr="00014EF4">
        <w:rPr>
          <w:rFonts w:ascii="Times New Roman" w:hAnsi="Times New Roman" w:cs="Times New Roman"/>
          <w:vertAlign w:val="subscript"/>
        </w:rPr>
        <w:t>out</w:t>
      </w:r>
      <w:r w:rsidR="00A67BF3" w:rsidRPr="00014EF4">
        <w:rPr>
          <w:rFonts w:ascii="Times New Roman" w:hAnsi="Times New Roman" w:cs="Times New Roman"/>
        </w:rPr>
        <w:t xml:space="preserve">; </w:t>
      </w:r>
    </w:p>
    <w:p w14:paraId="24B50F4C" w14:textId="72544322"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oMath>
      <w:r w:rsidR="00A67BF3" w:rsidRPr="00014EF4">
        <w:rPr>
          <w:rFonts w:ascii="Times New Roman" w:hAnsi="Times New Roman" w:cs="Times New Roman"/>
        </w:rPr>
        <w:t>, maximum hemoglobin level for logistic growth function describing improved</w:t>
      </w:r>
      <w:r w:rsidR="00874307" w:rsidRPr="00014EF4">
        <w:rPr>
          <w:rFonts w:ascii="Times New Roman" w:hAnsi="Times New Roman" w:cs="Times New Roman"/>
        </w:rPr>
        <w:t xml:space="preserve"> </w:t>
      </w:r>
      <w:r w:rsidR="00A67BF3" w:rsidRPr="00014EF4">
        <w:rPr>
          <w:rFonts w:ascii="Times New Roman" w:hAnsi="Times New Roman" w:cs="Times New Roman"/>
        </w:rPr>
        <w:t>hemoglobin levels upon initiating anti-TB treatment</w:t>
      </w:r>
      <w:r w:rsidR="00874307" w:rsidRPr="00014EF4">
        <w:rPr>
          <w:rFonts w:ascii="Times New Roman" w:hAnsi="Times New Roman" w:cs="Times New Roman"/>
        </w:rPr>
        <w:t>;</w:t>
      </w:r>
    </w:p>
    <w:p w14:paraId="5118AD73"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rate</m:t>
            </m:r>
          </m:sub>
        </m:sSub>
      </m:oMath>
      <w:r w:rsidR="00A67BF3" w:rsidRPr="00014EF4">
        <w:rPr>
          <w:rFonts w:ascii="Times New Roman" w:hAnsi="Times New Roman" w:cs="Times New Roman"/>
        </w:rPr>
        <w:t>, rate of increase in hemoglobin for logistic growth function describing improved hemoglobin levels upon initiating anti-TB treatment.</w:t>
      </w:r>
    </w:p>
    <w:p w14:paraId="3AC3029F" w14:textId="77777777" w:rsidR="00A67BF3" w:rsidRPr="00014EF4" w:rsidRDefault="00A67BF3" w:rsidP="00386B99">
      <w:pPr>
        <w:rPr>
          <w:rFonts w:ascii="Times New Roman" w:hAnsi="Times New Roman" w:cs="Times New Roman"/>
        </w:rPr>
      </w:pPr>
    </w:p>
    <w:p w14:paraId="6648728A" w14:textId="359E0E91"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Hb</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oMath>
      <w:r w:rsidR="00A67BF3" w:rsidRPr="00014EF4">
        <w:rPr>
          <w:rFonts w:ascii="Times New Roman" w:hAnsi="Times New Roman" w:cs="Times New Roman"/>
        </w:rPr>
        <w:t xml:space="preserve">, linezolid drug exposure-response relationship of hemoglobin level model that depends on </w:t>
      </w:r>
      <w:r w:rsidR="00A67BF3" w:rsidRPr="00014EF4">
        <w:rPr>
          <w:rFonts w:ascii="Times New Roman" w:eastAsiaTheme="minorEastAsia" w:hAnsi="Times New Roman" w:cs="Times New Roman"/>
          <w:color w:val="000000"/>
        </w:rPr>
        <w:t xml:space="preserve">concentration of linezolid in central compartment (plasma) of PK model,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oMath>
      <w:r w:rsidR="00A67BF3" w:rsidRPr="00014EF4">
        <w:rPr>
          <w:rFonts w:ascii="Times New Roman" w:eastAsiaTheme="minorEastAsia" w:hAnsi="Times New Roman" w:cs="Times New Roman"/>
          <w:color w:val="000000"/>
        </w:rPr>
        <w:t xml:space="preserve">. </w:t>
      </w:r>
    </w:p>
    <w:p w14:paraId="045EFDBD" w14:textId="0BA1921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Hb</m:t>
            </m:r>
          </m:sub>
        </m:sSub>
      </m:oMath>
      <w:r w:rsidR="00A67BF3" w:rsidRPr="00014EF4">
        <w:rPr>
          <w:rFonts w:ascii="Times New Roman" w:eastAsiaTheme="minorEastAsia" w:hAnsi="Times New Roman" w:cs="Times New Roman"/>
          <w:color w:val="000000"/>
        </w:rPr>
        <w:t>, maximum inhibitory effect, describe</w:t>
      </w:r>
      <w:r w:rsidR="00874307" w:rsidRPr="00014EF4">
        <w:rPr>
          <w:rFonts w:ascii="Times New Roman" w:eastAsiaTheme="minorEastAsia" w:hAnsi="Times New Roman" w:cs="Times New Roman"/>
          <w:color w:val="000000"/>
        </w:rPr>
        <w:t>s</w:t>
      </w:r>
      <w:r w:rsidR="00A67BF3" w:rsidRPr="00014EF4">
        <w:rPr>
          <w:rFonts w:ascii="Times New Roman" w:eastAsiaTheme="minorEastAsia" w:hAnsi="Times New Roman" w:cs="Times New Roman"/>
          <w:color w:val="000000"/>
        </w:rPr>
        <w:t xml:space="preserve"> linezolid efficacy for linezolid drug exposure-response relationship </w:t>
      </w:r>
      <w:r w:rsidR="00A67BF3" w:rsidRPr="00014EF4">
        <w:rPr>
          <w:rFonts w:ascii="Times New Roman" w:hAnsi="Times New Roman" w:cs="Times New Roman"/>
        </w:rPr>
        <w:t>of hemoglobin level model</w:t>
      </w:r>
      <w:r w:rsidR="00A67BF3" w:rsidRPr="00014EF4">
        <w:rPr>
          <w:rFonts w:ascii="Times New Roman" w:eastAsiaTheme="minorEastAsia" w:hAnsi="Times New Roman" w:cs="Times New Roman"/>
          <w:color w:val="000000"/>
        </w:rPr>
        <w:t xml:space="preserve">; </w:t>
      </w:r>
      <w:r w:rsidR="00A67BF3" w:rsidRPr="00014EF4">
        <w:rPr>
          <w:rFonts w:ascii="Times New Roman" w:hAnsi="Times New Roman" w:cs="Times New Roman"/>
        </w:rPr>
        <w:t xml:space="preserve"> </w:t>
      </w:r>
    </w:p>
    <w:p w14:paraId="4B38FAD3" w14:textId="652A8E13" w:rsidR="00A67BF3" w:rsidRPr="00014EF4" w:rsidRDefault="00E90ACF" w:rsidP="00386B99">
      <w:pPr>
        <w:rPr>
          <w:rFonts w:ascii="Times New Roman" w:eastAsia="Times New Roman" w:hAnsi="Times New Roman" w:cs="Times New Roman"/>
          <w:color w:val="000000"/>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Hb</m:t>
            </m:r>
          </m:sub>
        </m:sSub>
      </m:oMath>
      <w:r w:rsidR="00A67BF3" w:rsidRPr="00014EF4">
        <w:rPr>
          <w:rFonts w:ascii="Times New Roman" w:eastAsiaTheme="minorEastAsia" w:hAnsi="Times New Roman" w:cs="Times New Roman"/>
          <w:color w:val="000000"/>
        </w:rPr>
        <w:t xml:space="preserve">, linezolid </w:t>
      </w:r>
      <w:r w:rsidR="00A67BF3" w:rsidRPr="00014EF4">
        <w:rPr>
          <w:rFonts w:ascii="Times New Roman" w:eastAsia="Times New Roman" w:hAnsi="Times New Roman" w:cs="Times New Roman"/>
          <w:color w:val="000000"/>
        </w:rPr>
        <w:t>concentration to reach half maximal inhibitory effect, describes linezolid potency</w:t>
      </w:r>
      <w:r w:rsidR="00874307" w:rsidRPr="00014EF4">
        <w:rPr>
          <w:rFonts w:ascii="Times New Roman" w:eastAsia="Times New Roman" w:hAnsi="Times New Roman" w:cs="Times New Roman"/>
          <w:color w:val="000000"/>
        </w:rPr>
        <w:t xml:space="preserve"> </w:t>
      </w:r>
      <w:r w:rsidR="00A67BF3" w:rsidRPr="00014EF4">
        <w:rPr>
          <w:rFonts w:ascii="Times New Roman" w:eastAsiaTheme="minorEastAsia" w:hAnsi="Times New Roman" w:cs="Times New Roman"/>
          <w:color w:val="000000"/>
        </w:rPr>
        <w:t xml:space="preserve">for linezolid drug exposure-response relationship </w:t>
      </w:r>
      <w:r w:rsidR="00A67BF3" w:rsidRPr="00014EF4">
        <w:rPr>
          <w:rFonts w:ascii="Times New Roman" w:hAnsi="Times New Roman" w:cs="Times New Roman"/>
        </w:rPr>
        <w:t>of hemoglobin level model</w:t>
      </w:r>
      <w:r w:rsidR="00A67BF3" w:rsidRPr="00014EF4">
        <w:rPr>
          <w:rFonts w:ascii="Times New Roman" w:eastAsiaTheme="minorEastAsia" w:hAnsi="Times New Roman" w:cs="Times New Roman"/>
          <w:color w:val="000000"/>
        </w:rPr>
        <w:t xml:space="preserve">; </w:t>
      </w:r>
      <w:r w:rsidR="00A67BF3" w:rsidRPr="00014EF4">
        <w:rPr>
          <w:rFonts w:ascii="Times New Roman" w:hAnsi="Times New Roman" w:cs="Times New Roman"/>
        </w:rPr>
        <w:t xml:space="preserve"> </w:t>
      </w:r>
    </w:p>
    <w:p w14:paraId="63FB4F36"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Hb</m:t>
            </m:r>
          </m:sub>
        </m:sSub>
      </m:oMath>
      <w:r w:rsidR="00A67BF3" w:rsidRPr="00014EF4">
        <w:rPr>
          <w:rFonts w:ascii="Times New Roman" w:eastAsia="Times New Roman" w:hAnsi="Times New Roman" w:cs="Times New Roman"/>
          <w:color w:val="000000"/>
        </w:rPr>
        <w:t xml:space="preserve">, Hill coefficient that describes the shape of the </w:t>
      </w:r>
      <w:r w:rsidR="00A67BF3" w:rsidRPr="00014EF4">
        <w:rPr>
          <w:rFonts w:ascii="Times New Roman" w:hAnsi="Times New Roman" w:cs="Times New Roman"/>
        </w:rPr>
        <w:t>linezolid drug exposure-response relationship of hemoglobin level model</w:t>
      </w:r>
      <w:r w:rsidR="00A67BF3" w:rsidRPr="00014EF4">
        <w:rPr>
          <w:rFonts w:ascii="Times New Roman" w:eastAsiaTheme="minorEastAsia" w:hAnsi="Times New Roman" w:cs="Times New Roman"/>
          <w:color w:val="000000"/>
        </w:rPr>
        <w:t xml:space="preserve">. </w:t>
      </w:r>
    </w:p>
    <w:p w14:paraId="3B1AAD4C" w14:textId="77777777" w:rsidR="00A67BF3" w:rsidRPr="00014EF4" w:rsidRDefault="00A67BF3" w:rsidP="00386B99">
      <w:pPr>
        <w:rPr>
          <w:rFonts w:ascii="Times New Roman" w:hAnsi="Times New Roman" w:cs="Times New Roman"/>
        </w:rPr>
      </w:pPr>
    </w:p>
    <w:p w14:paraId="09771EEB" w14:textId="12BE8DB6" w:rsidR="00A67BF3" w:rsidRPr="00014EF4" w:rsidRDefault="00A67BF3" w:rsidP="00386B99">
      <w:pPr>
        <w:rPr>
          <w:rFonts w:ascii="Times New Roman" w:eastAsiaTheme="minorEastAsia" w:hAnsi="Times New Roman" w:cs="Times New Roman"/>
        </w:rPr>
      </w:pPr>
      <w:r w:rsidRPr="00014EF4">
        <w:rPr>
          <w:rFonts w:ascii="Times New Roman" w:hAnsi="Times New Roman" w:cs="Times New Roman"/>
        </w:rPr>
        <w:t>Log-normal inter</w:t>
      </w:r>
      <w:r w:rsidR="009161A4" w:rsidRPr="00014EF4">
        <w:rPr>
          <w:rFonts w:ascii="Times New Roman" w:hAnsi="Times New Roman" w:cs="Times New Roman"/>
        </w:rPr>
        <w:t>i</w:t>
      </w:r>
      <w:r w:rsidRPr="00014EF4">
        <w:rPr>
          <w:rFonts w:ascii="Times New Roman" w:hAnsi="Times New Roman" w:cs="Times New Roman"/>
        </w:rPr>
        <w:t xml:space="preserve">ndividual variability was tested on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out</m:t>
            </m:r>
          </m:sub>
        </m:sSub>
      </m:oMath>
      <w:r w:rsidRPr="00014EF4">
        <w:rPr>
          <w:rFonts w:ascii="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rate</m:t>
            </m:r>
          </m:sub>
        </m:sSub>
      </m:oMath>
      <w:r w:rsidRPr="00014EF4">
        <w:rPr>
          <w:rFonts w:ascii="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oMath>
      <w:r w:rsidRPr="00014EF4">
        <w:rPr>
          <w:rFonts w:ascii="Times New Roman" w:hAnsi="Times New Roman" w:cs="Times New Roman"/>
        </w:rPr>
        <w:t xml:space="preserve">, </w:t>
      </w: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Hb</m:t>
            </m:r>
          </m:sub>
        </m:sSub>
      </m:oMath>
      <w:r w:rsidRPr="00014EF4">
        <w:rPr>
          <w:rFonts w:ascii="Times New Roman" w:hAnsi="Times New Roman" w:cs="Times New Roman"/>
        </w:rPr>
        <w:t xml:space="preserve">, and </w:t>
      </w: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Hb</m:t>
            </m:r>
          </m:sub>
        </m:sSub>
      </m:oMath>
      <w:r w:rsidRPr="00014EF4">
        <w:rPr>
          <w:rFonts w:ascii="Times New Roman" w:eastAsiaTheme="minorEastAsia" w:hAnsi="Times New Roman" w:cs="Times New Roman"/>
        </w:rPr>
        <w:t xml:space="preserve">. </w:t>
      </w:r>
      <w:r w:rsidRPr="00014EF4">
        <w:rPr>
          <w:rFonts w:ascii="Times New Roman" w:hAnsi="Times New Roman" w:cs="Times New Roman"/>
        </w:rPr>
        <w:t xml:space="preserve">The following equation was used: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i </m:t>
            </m:r>
          </m:sub>
        </m:sSub>
        <m:r>
          <w:rPr>
            <w:rFonts w:ascii="Cambria Math" w:hAnsi="Cambria Math" w:cs="Times New Roman"/>
          </w:rPr>
          <m:t>=TVPexp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e>
        </m:d>
      </m:oMath>
      <w:r w:rsidRPr="00014EF4">
        <w:rPr>
          <w:rFonts w:ascii="Times New Roman" w:eastAsiaTheme="minorEastAsia" w:hAnsi="Times New Roman" w:cs="Times New Roman"/>
        </w:rPr>
        <w:t xml:space="preserve"> where: </w:t>
      </w:r>
    </w:p>
    <w:p w14:paraId="39E9DCD6"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i </m:t>
            </m:r>
          </m:sub>
        </m:sSub>
      </m:oMath>
      <w:r w:rsidR="00A67BF3" w:rsidRPr="00014EF4">
        <w:rPr>
          <w:rFonts w:ascii="Times New Roman" w:eastAsiaTheme="minorEastAsia" w:hAnsi="Times New Roman" w:cs="Times New Roman"/>
        </w:rPr>
        <w:t xml:space="preserve"> is the estimated parameter for individual, </w:t>
      </w:r>
      <m:oMath>
        <m:r>
          <w:rPr>
            <w:rFonts w:ascii="Cambria Math" w:hAnsi="Cambria Math" w:cs="Times New Roman"/>
          </w:rPr>
          <m:t>i</m:t>
        </m:r>
      </m:oMath>
      <w:r w:rsidR="00A67BF3" w:rsidRPr="00014EF4">
        <w:rPr>
          <w:rFonts w:ascii="Times New Roman" w:eastAsiaTheme="minorEastAsia" w:hAnsi="Times New Roman" w:cs="Times New Roman"/>
        </w:rPr>
        <w:t xml:space="preserve">; </w:t>
      </w:r>
    </w:p>
    <w:p w14:paraId="5BC9D1CF" w14:textId="4A7E4A92" w:rsidR="00A67BF3" w:rsidRPr="00014EF4" w:rsidRDefault="00A67BF3" w:rsidP="00386B99">
      <w:pPr>
        <w:ind w:left="288"/>
        <w:rPr>
          <w:rFonts w:ascii="Times New Roman" w:eastAsiaTheme="minorEastAsia" w:hAnsi="Times New Roman" w:cs="Times New Roman"/>
        </w:rPr>
      </w:pPr>
      <m:oMath>
        <m:r>
          <w:rPr>
            <w:rFonts w:ascii="Cambria Math" w:hAnsi="Cambria Math" w:cs="Times New Roman"/>
          </w:rPr>
          <m:t>TVP</m:t>
        </m:r>
      </m:oMath>
      <w:r w:rsidRPr="00014EF4">
        <w:rPr>
          <w:rFonts w:ascii="Times New Roman" w:eastAsiaTheme="minorEastAsia" w:hAnsi="Times New Roman" w:cs="Times New Roman"/>
        </w:rPr>
        <w:t xml:space="preserve"> is the</w:t>
      </w:r>
      <w:r w:rsidR="00874307" w:rsidRPr="00014EF4">
        <w:rPr>
          <w:rFonts w:ascii="Times New Roman" w:eastAsiaTheme="minorEastAsia" w:hAnsi="Times New Roman" w:cs="Times New Roman"/>
        </w:rPr>
        <w:t xml:space="preserve"> population</w:t>
      </w:r>
      <w:r w:rsidRPr="00014EF4">
        <w:rPr>
          <w:rFonts w:ascii="Times New Roman" w:eastAsiaTheme="minorEastAsia" w:hAnsi="Times New Roman" w:cs="Times New Roman"/>
        </w:rPr>
        <w:t xml:space="preserve"> typical value (median) for the parameter; </w:t>
      </w:r>
    </w:p>
    <w:p w14:paraId="6882EAC2" w14:textId="2B77F741"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oMath>
      <w:r w:rsidR="00A67BF3" w:rsidRPr="00014EF4">
        <w:rPr>
          <w:rFonts w:ascii="Times New Roman" w:eastAsiaTheme="minorEastAsia" w:hAnsi="Times New Roman" w:cs="Times New Roman"/>
        </w:rPr>
        <w:t xml:space="preserve"> is the interindividual random effect reflecting the difference between an individual’s parameter value and the population’s typical value where </w:t>
      </w: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r>
          <w:rPr>
            <w:rFonts w:ascii="Cambria Math" w:hAnsi="Cambria Math" w:cs="Times New Roman"/>
          </w:rPr>
          <m:t xml:space="preserve">=N(0, </m:t>
        </m:r>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r>
          <w:rPr>
            <w:rFonts w:ascii="Cambria Math" w:hAnsi="Cambria Math" w:cs="Times New Roman"/>
          </w:rPr>
          <m:t>)</m:t>
        </m:r>
      </m:oMath>
      <w:r w:rsidR="00A67BF3" w:rsidRPr="00014EF4">
        <w:rPr>
          <w:rFonts w:ascii="Times New Roman" w:eastAsiaTheme="minorEastAsia"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oMath>
      <w:r w:rsidR="00A67BF3" w:rsidRPr="00014EF4">
        <w:rPr>
          <w:rFonts w:ascii="Times New Roman" w:eastAsiaTheme="minorEastAsia" w:hAnsi="Times New Roman" w:cs="Times New Roman"/>
        </w:rPr>
        <w:t xml:space="preserve"> is the variance of </w:t>
      </w: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oMath>
      <w:r w:rsidR="00A67BF3" w:rsidRPr="00014EF4">
        <w:rPr>
          <w:rFonts w:ascii="Times New Roman" w:eastAsiaTheme="minorEastAsia" w:hAnsi="Times New Roman" w:cs="Times New Roman"/>
        </w:rPr>
        <w:t xml:space="preserve">, which is estimated in model fitting. </w:t>
      </w:r>
    </w:p>
    <w:p w14:paraId="0174F849" w14:textId="77777777" w:rsidR="00A67BF3" w:rsidRPr="00014EF4" w:rsidRDefault="00A67BF3" w:rsidP="00386B99">
      <w:pPr>
        <w:rPr>
          <w:rFonts w:ascii="Times New Roman" w:eastAsiaTheme="minorEastAsia" w:hAnsi="Times New Roman" w:cs="Times New Roman"/>
        </w:rPr>
      </w:pPr>
      <w:r w:rsidRPr="00014EF4">
        <w:rPr>
          <w:rFonts w:ascii="Times New Roman" w:eastAsiaTheme="minorEastAsia" w:hAnsi="Times New Roman" w:cs="Times New Roman"/>
        </w:rPr>
        <w:t>The coefficient of variation (</w:t>
      </w:r>
      <m:oMath>
        <m:r>
          <w:rPr>
            <w:rFonts w:ascii="Cambria Math" w:eastAsiaTheme="minorEastAsia" w:hAnsi="Cambria Math" w:cs="Times New Roman"/>
          </w:rPr>
          <m:t>CV%</m:t>
        </m:r>
      </m:oMath>
      <w:r w:rsidRPr="00014EF4">
        <w:rPr>
          <w:rFonts w:ascii="Times New Roman" w:eastAsiaTheme="minorEastAsia" w:hAnsi="Times New Roman" w:cs="Times New Roman"/>
        </w:rPr>
        <w:t xml:space="preserve">= </w:t>
      </w:r>
      <m:oMath>
        <m:r>
          <w:rPr>
            <w:rFonts w:ascii="Cambria Math" w:eastAsiaTheme="minorEastAsia" w:hAnsi="Cambria Math" w:cs="Times New Roman"/>
          </w:rPr>
          <m:t>100sqrt(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e>
            </m:d>
          </m:e>
        </m:func>
        <m:r>
          <w:rPr>
            <w:rFonts w:ascii="Cambria Math" w:eastAsiaTheme="minorEastAsia" w:hAnsi="Cambria Math" w:cs="Times New Roman"/>
          </w:rPr>
          <m:t>-1)</m:t>
        </m:r>
      </m:oMath>
      <w:r w:rsidRPr="00014EF4">
        <w:rPr>
          <w:rFonts w:ascii="Times New Roman" w:eastAsiaTheme="minorEastAsia" w:hAnsi="Times New Roman" w:cs="Times New Roman"/>
        </w:rPr>
        <w:t xml:space="preserve">) is reported. </w:t>
      </w:r>
    </w:p>
    <w:p w14:paraId="7F65B9E5" w14:textId="77777777" w:rsidR="00A67BF3" w:rsidRPr="00014EF4" w:rsidRDefault="00A67BF3" w:rsidP="00386B99">
      <w:pPr>
        <w:rPr>
          <w:rFonts w:ascii="Times New Roman" w:hAnsi="Times New Roman" w:cs="Times New Roman"/>
        </w:rPr>
      </w:pPr>
    </w:p>
    <w:p w14:paraId="7C997AED" w14:textId="77777777" w:rsidR="00A67BF3" w:rsidRPr="00014EF4" w:rsidRDefault="00A67BF3" w:rsidP="00386B99">
      <w:pPr>
        <w:rPr>
          <w:rFonts w:ascii="Times New Roman" w:eastAsiaTheme="minorEastAsia" w:hAnsi="Times New Roman" w:cs="Times New Roman"/>
        </w:rPr>
      </w:pPr>
      <w:r w:rsidRPr="00014EF4">
        <w:rPr>
          <w:rFonts w:ascii="Times New Roman" w:eastAsiaTheme="minorEastAsia" w:hAnsi="Times New Roman" w:cs="Times New Roman"/>
        </w:rPr>
        <w:t xml:space="preserve">Correlations between random effects, </w:t>
      </w:r>
      <m:oMath>
        <m:r>
          <w:rPr>
            <w:rFonts w:ascii="Cambria Math" w:eastAsiaTheme="minorEastAsia" w:hAnsi="Cambria Math" w:cs="Times New Roman"/>
          </w:rPr>
          <m:t>a</m:t>
        </m:r>
      </m:oMath>
      <w:r w:rsidRPr="00014EF4">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014EF4">
        <w:rPr>
          <w:rFonts w:ascii="Times New Roman" w:eastAsiaTheme="minorEastAsia" w:hAnsi="Times New Roman" w:cs="Times New Roman"/>
        </w:rPr>
        <w:t xml:space="preserve">, were predicted using the following formula: </w:t>
      </w:r>
      <m:oMath>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a,b</m:t>
                </m:r>
              </m:sub>
            </m:sSub>
          </m:num>
          <m:den>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a</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b</m:t>
                </m:r>
              </m:sub>
              <m:sup>
                <m:r>
                  <w:rPr>
                    <w:rFonts w:ascii="Cambria Math" w:eastAsiaTheme="minorEastAsia" w:hAnsi="Cambria Math" w:cs="Times New Roman"/>
                  </w:rPr>
                  <m:t>2</m:t>
                </m:r>
              </m:sup>
            </m:sSubSup>
          </m:den>
        </m:f>
        <m:r>
          <w:rPr>
            <w:rFonts w:ascii="Cambria Math" w:eastAsiaTheme="minorEastAsia" w:hAnsi="Cambria Math" w:cs="Times New Roman"/>
          </w:rPr>
          <m:t>)</m:t>
        </m:r>
      </m:oMath>
      <w:r w:rsidRPr="00014EF4">
        <w:rPr>
          <w:rFonts w:ascii="Times New Roman" w:eastAsiaTheme="minorEastAsia" w:hAnsi="Times New Roman" w:cs="Times New Roman"/>
        </w:rPr>
        <w:t xml:space="preserve">, where </w:t>
      </w:r>
    </w:p>
    <w:p w14:paraId="270DE1B1" w14:textId="77777777" w:rsidR="00A67BF3" w:rsidRPr="00014EF4" w:rsidRDefault="00E90ACF" w:rsidP="00386B99">
      <w:pPr>
        <w:ind w:left="288"/>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a</m:t>
            </m:r>
          </m:sub>
          <m:sup>
            <m:r>
              <w:rPr>
                <w:rFonts w:ascii="Cambria Math" w:eastAsiaTheme="minorEastAsia" w:hAnsi="Cambria Math" w:cs="Times New Roman"/>
              </w:rPr>
              <m:t>2</m:t>
            </m:r>
          </m:sup>
        </m:sSubSup>
      </m:oMath>
      <w:r w:rsidR="00A67BF3" w:rsidRPr="00014EF4">
        <w:rPr>
          <w:rFonts w:ascii="Times New Roman" w:eastAsiaTheme="minorEastAsia" w:hAnsi="Times New Roman" w:cs="Times New Roman"/>
        </w:rPr>
        <w:t xml:space="preserve"> is the variance of parameter </w:t>
      </w:r>
      <m:oMath>
        <m:r>
          <w:rPr>
            <w:rFonts w:ascii="Cambria Math" w:eastAsiaTheme="minorEastAsia" w:hAnsi="Cambria Math" w:cs="Times New Roman"/>
          </w:rPr>
          <m:t>a</m:t>
        </m:r>
      </m:oMath>
      <w:r w:rsidR="00A67BF3" w:rsidRPr="00014EF4">
        <w:rPr>
          <w:rFonts w:ascii="Times New Roman" w:eastAsiaTheme="minorEastAsia" w:hAnsi="Times New Roman" w:cs="Times New Roman"/>
        </w:rPr>
        <w:t>;</w:t>
      </w:r>
    </w:p>
    <w:p w14:paraId="5A980610" w14:textId="77777777" w:rsidR="00A67BF3" w:rsidRPr="00014EF4" w:rsidRDefault="00E90ACF" w:rsidP="00386B99">
      <w:pPr>
        <w:ind w:left="288"/>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b</m:t>
            </m:r>
          </m:sub>
          <m:sup>
            <m:r>
              <w:rPr>
                <w:rFonts w:ascii="Cambria Math" w:eastAsiaTheme="minorEastAsia" w:hAnsi="Cambria Math" w:cs="Times New Roman"/>
              </w:rPr>
              <m:t>2</m:t>
            </m:r>
          </m:sup>
        </m:sSubSup>
      </m:oMath>
      <w:r w:rsidR="00A67BF3" w:rsidRPr="00014EF4">
        <w:rPr>
          <w:rFonts w:ascii="Times New Roman" w:eastAsiaTheme="minorEastAsia" w:hAnsi="Times New Roman" w:cs="Times New Roman"/>
        </w:rPr>
        <w:t xml:space="preserve"> is the variance of parameter </w:t>
      </w:r>
      <m:oMath>
        <m:r>
          <w:rPr>
            <w:rFonts w:ascii="Cambria Math" w:eastAsiaTheme="minorEastAsia" w:hAnsi="Cambria Math" w:cs="Times New Roman"/>
          </w:rPr>
          <m:t>b</m:t>
        </m:r>
      </m:oMath>
      <w:r w:rsidR="00A67BF3" w:rsidRPr="00014EF4">
        <w:rPr>
          <w:rFonts w:ascii="Times New Roman" w:eastAsiaTheme="minorEastAsia" w:hAnsi="Times New Roman" w:cs="Times New Roman"/>
        </w:rPr>
        <w:t>;</w:t>
      </w:r>
    </w:p>
    <w:p w14:paraId="152D6796" w14:textId="77777777" w:rsidR="00A67BF3" w:rsidRPr="00014EF4" w:rsidRDefault="00A67BF3" w:rsidP="00386B99">
      <w:pPr>
        <w:ind w:left="288"/>
        <w:rPr>
          <w:rFonts w:ascii="Times New Roman" w:eastAsiaTheme="minorEastAsia" w:hAnsi="Times New Roman" w:cs="Times New Roman"/>
        </w:rPr>
      </w:pPr>
      <w:r w:rsidRPr="00014EF4">
        <w:rPr>
          <w:rFonts w:ascii="Times New Roman" w:eastAsiaTheme="minorEastAsia" w:hAnsi="Times New Roman" w:cs="Times New Roman"/>
        </w:rPr>
        <w:lastRenderedPageBreak/>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a,b</m:t>
            </m:r>
          </m:sub>
        </m:sSub>
      </m:oMath>
      <w:r w:rsidRPr="00014EF4">
        <w:rPr>
          <w:rFonts w:ascii="Times New Roman" w:eastAsiaTheme="minorEastAsia" w:hAnsi="Times New Roman" w:cs="Times New Roman"/>
        </w:rPr>
        <w:t xml:space="preserve"> is the covariance between parameter</w:t>
      </w:r>
      <m:oMath>
        <m:r>
          <w:rPr>
            <w:rFonts w:ascii="Cambria Math" w:eastAsiaTheme="minorEastAsia" w:hAnsi="Cambria Math" w:cs="Times New Roman"/>
          </w:rPr>
          <m:t xml:space="preserve"> a</m:t>
        </m:r>
      </m:oMath>
      <w:r w:rsidRPr="00014EF4">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014EF4">
        <w:rPr>
          <w:rFonts w:ascii="Times New Roman" w:eastAsiaTheme="minorEastAsia" w:hAnsi="Times New Roman" w:cs="Times New Roman"/>
        </w:rPr>
        <w:t xml:space="preserve">. </w:t>
      </w:r>
    </w:p>
    <w:p w14:paraId="09EB9BD2" w14:textId="77777777" w:rsidR="00A67BF3" w:rsidRPr="00014EF4" w:rsidRDefault="00A67BF3" w:rsidP="00386B99">
      <w:pPr>
        <w:rPr>
          <w:rFonts w:ascii="Times New Roman" w:eastAsiaTheme="minorEastAsia" w:hAnsi="Times New Roman" w:cs="Times New Roman"/>
        </w:rPr>
      </w:pPr>
    </w:p>
    <w:p w14:paraId="2EC56EDA" w14:textId="77777777" w:rsidR="00A67BF3" w:rsidRPr="00014EF4" w:rsidRDefault="00A67BF3" w:rsidP="00386B99">
      <w:pPr>
        <w:rPr>
          <w:rFonts w:ascii="Times New Roman" w:eastAsiaTheme="minorEastAsia" w:hAnsi="Times New Roman" w:cs="Times New Roman"/>
        </w:rPr>
      </w:pPr>
      <w:r w:rsidRPr="00014EF4">
        <w:rPr>
          <w:rFonts w:ascii="Times New Roman" w:eastAsiaTheme="minorEastAsia" w:hAnsi="Times New Roman" w:cs="Times New Roman"/>
        </w:rPr>
        <w:t xml:space="preserve">An additive model was used to explain residual variability. The following equation was used: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 xml:space="preserve">i,j </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 xml:space="preserve">i,j </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oMath>
      <w:r w:rsidRPr="00014EF4">
        <w:rPr>
          <w:rFonts w:ascii="Times New Roman" w:eastAsiaTheme="minorEastAsia" w:hAnsi="Times New Roman" w:cs="Times New Roman"/>
        </w:rPr>
        <w:t xml:space="preserve"> where</w:t>
      </w:r>
      <m:oMath>
        <m:r>
          <w:rPr>
            <w:rFonts w:ascii="Cambria Math" w:eastAsiaTheme="minorEastAsia" w:hAnsi="Cambria Math" w:cs="Times New Roman"/>
          </w:rPr>
          <m:t>:</m:t>
        </m:r>
      </m:oMath>
    </w:p>
    <w:p w14:paraId="673A7770"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 xml:space="preserve">i,j </m:t>
            </m:r>
          </m:sub>
        </m:sSub>
        <m:r>
          <w:rPr>
            <w:rFonts w:ascii="Cambria Math" w:hAnsi="Cambria Math" w:cs="Times New Roman"/>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 xml:space="preserve">i,j </m:t>
            </m:r>
          </m:sub>
        </m:sSub>
      </m:oMath>
      <w:r w:rsidR="00A67BF3" w:rsidRPr="00014EF4">
        <w:rPr>
          <w:rFonts w:ascii="Times New Roman" w:eastAsiaTheme="minorEastAsia" w:hAnsi="Times New Roman" w:cs="Times New Roman"/>
        </w:rPr>
        <w:t xml:space="preserve">are the observed and model predicted dependent variable values, respectively, for individual, </w:t>
      </w:r>
      <m:oMath>
        <m:r>
          <w:rPr>
            <w:rFonts w:ascii="Cambria Math" w:hAnsi="Cambria Math" w:cs="Times New Roman"/>
          </w:rPr>
          <m:t>i</m:t>
        </m:r>
      </m:oMath>
      <w:r w:rsidR="00A67BF3" w:rsidRPr="00014EF4">
        <w:rPr>
          <w:rFonts w:ascii="Times New Roman" w:eastAsiaTheme="minorEastAsia" w:hAnsi="Times New Roman" w:cs="Times New Roman"/>
        </w:rPr>
        <w:t xml:space="preserve">, and sampling timepoint, </w:t>
      </w:r>
      <m:oMath>
        <m:r>
          <w:rPr>
            <w:rFonts w:ascii="Cambria Math" w:eastAsiaTheme="minorEastAsia" w:hAnsi="Cambria Math" w:cs="Times New Roman"/>
          </w:rPr>
          <m:t>j</m:t>
        </m:r>
      </m:oMath>
      <w:r w:rsidR="00A67BF3" w:rsidRPr="00014EF4">
        <w:rPr>
          <w:rFonts w:ascii="Times New Roman" w:eastAsiaTheme="minorEastAsia" w:hAnsi="Times New Roman" w:cs="Times New Roman"/>
        </w:rPr>
        <w:t>;</w:t>
      </w:r>
    </w:p>
    <w:p w14:paraId="4904E026"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oMath>
      <w:r w:rsidR="00A67BF3" w:rsidRPr="00014EF4">
        <w:rPr>
          <w:rFonts w:ascii="Times New Roman" w:eastAsiaTheme="minorEastAsia" w:hAnsi="Times New Roman" w:cs="Times New Roman"/>
        </w:rPr>
        <w:t xml:space="preserve"> is the unexplained residual error reflecting the difference between observed and model predicted data where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r>
          <w:rPr>
            <w:rFonts w:ascii="Cambria Math" w:hAnsi="Cambria Math" w:cs="Times New Roman"/>
          </w:rPr>
          <m:t xml:space="preserve">=N(0,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oMath>
      <w:r w:rsidR="00A67BF3" w:rsidRPr="00014EF4">
        <w:rPr>
          <w:rFonts w:ascii="Times New Roman" w:eastAsiaTheme="minorEastAsia" w:hAnsi="Times New Roman" w:cs="Times New Roman"/>
        </w:rPr>
        <w:t xml:space="preserve"> and </w:t>
      </w:r>
      <m:oMath>
        <m:r>
          <w:rPr>
            <w:rFonts w:ascii="Cambria Math" w:hAnsi="Cambria Math" w:cs="Times New Roman"/>
          </w:rPr>
          <m:t>σ</m:t>
        </m:r>
      </m:oMath>
      <w:r w:rsidR="00A67BF3" w:rsidRPr="00014EF4">
        <w:rPr>
          <w:rFonts w:ascii="Times New Roman" w:eastAsiaTheme="minorEastAsia" w:hAnsi="Times New Roman" w:cs="Times New Roman"/>
        </w:rPr>
        <w:t xml:space="preserve"> is the standard deviation of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oMath>
      <w:r w:rsidR="00A67BF3" w:rsidRPr="00014EF4">
        <w:rPr>
          <w:rFonts w:ascii="Times New Roman" w:eastAsiaTheme="minorEastAsia" w:hAnsi="Times New Roman" w:cs="Times New Roman"/>
        </w:rPr>
        <w:t xml:space="preserve"> which is estimated in the model fitting. </w:t>
      </w:r>
    </w:p>
    <w:p w14:paraId="5B17F130" w14:textId="77777777" w:rsidR="00A67BF3" w:rsidRPr="00014EF4" w:rsidRDefault="00A67BF3" w:rsidP="00386B99">
      <w:pPr>
        <w:ind w:left="288"/>
        <w:rPr>
          <w:rFonts w:ascii="Times New Roman" w:eastAsiaTheme="minorEastAsia" w:hAnsi="Times New Roman" w:cs="Times New Roman"/>
        </w:rPr>
      </w:pPr>
      <w:r w:rsidRPr="00014EF4">
        <w:rPr>
          <w:rFonts w:ascii="Times New Roman" w:eastAsiaTheme="minorEastAsia" w:hAnsi="Times New Roman" w:cs="Times New Roman"/>
        </w:rPr>
        <w:t xml:space="preserve">   </w:t>
      </w:r>
      <w:r w:rsidRPr="00014EF4">
        <w:rPr>
          <w:rFonts w:ascii="Times New Roman" w:hAnsi="Times New Roman" w:cs="Times New Roman"/>
        </w:rPr>
        <w:br w:type="page"/>
      </w:r>
    </w:p>
    <w:p w14:paraId="408CA10B" w14:textId="2E880163" w:rsidR="00A67BF3" w:rsidRPr="00014EF4" w:rsidRDefault="00990105" w:rsidP="00386B99">
      <w:pPr>
        <w:pStyle w:val="captions"/>
        <w:rPr>
          <w:rFonts w:cs="Times New Roman"/>
          <w:b w:val="0"/>
          <w:i w:val="0"/>
          <w:sz w:val="24"/>
          <w:szCs w:val="24"/>
        </w:rPr>
      </w:pPr>
      <w:r w:rsidRPr="006941F2">
        <w:rPr>
          <w:rStyle w:val="Heading2Char"/>
          <w:rFonts w:ascii="Times New Roman" w:hAnsi="Times New Roman" w:cs="Times New Roman"/>
          <w:i w:val="0"/>
          <w:color w:val="auto"/>
          <w:sz w:val="24"/>
          <w:szCs w:val="24"/>
        </w:rPr>
        <w:lastRenderedPageBreak/>
        <w:t>Supplemental Table 5</w:t>
      </w:r>
      <w:r>
        <w:rPr>
          <w:rFonts w:eastAsiaTheme="minorHAnsi" w:cs="Times New Roman"/>
          <w:i w:val="0"/>
          <w:iCs w:val="0"/>
          <w:color w:val="auto"/>
          <w:sz w:val="24"/>
          <w:szCs w:val="24"/>
        </w:rPr>
        <w:t xml:space="preserve"> </w:t>
      </w:r>
      <w:r w:rsidR="00A67BF3" w:rsidRPr="00014EF4">
        <w:rPr>
          <w:rFonts w:cs="Times New Roman"/>
          <w:b w:val="0"/>
          <w:i w:val="0"/>
          <w:sz w:val="24"/>
          <w:szCs w:val="24"/>
        </w:rPr>
        <w:t xml:space="preserve">Parameter estimates for final hemoglobin level model. CV% is the coefficient of variation percentage of the parameter’s interindividual variability and RSE% is the relative standard error percentage of the parameter estimate. Sex was implemented as a covariate into the model using the following linear relationship: </w:t>
      </w:r>
      <m:oMath>
        <m:sSub>
          <m:sSubPr>
            <m:ctrlPr>
              <w:rPr>
                <w:rFonts w:ascii="Cambria Math" w:hAnsi="Cambria Math" w:cs="Times New Roman"/>
                <w:b w:val="0"/>
                <w:i w:val="0"/>
                <w:iCs w:val="0"/>
                <w:sz w:val="24"/>
                <w:szCs w:val="24"/>
              </w:rPr>
            </m:ctrlPr>
          </m:sSubPr>
          <m:e>
            <m:r>
              <m:rPr>
                <m:sty m:val="bi"/>
              </m:rPr>
              <w:rPr>
                <w:rFonts w:ascii="Cambria Math" w:hAnsi="Cambria Math" w:cs="Times New Roman"/>
                <w:sz w:val="24"/>
                <w:szCs w:val="24"/>
              </w:rPr>
              <m:t>Hb</m:t>
            </m:r>
          </m:e>
          <m:sub>
            <m:r>
              <m:rPr>
                <m:sty m:val="bi"/>
              </m:rPr>
              <w:rPr>
                <w:rFonts w:ascii="Cambria Math" w:hAnsi="Cambria Math" w:cs="Times New Roman"/>
                <w:sz w:val="24"/>
                <w:szCs w:val="24"/>
              </w:rPr>
              <m:t>0,FEMALE</m:t>
            </m:r>
          </m:sub>
        </m:sSub>
        <m:r>
          <m:rPr>
            <m:sty m:val="bi"/>
          </m:rPr>
          <w:rPr>
            <w:rFonts w:ascii="Cambria Math" w:hAnsi="Cambria Math" w:cs="Times New Roman"/>
            <w:sz w:val="24"/>
            <w:szCs w:val="24"/>
          </w:rPr>
          <m:t xml:space="preserve">= </m:t>
        </m:r>
        <m:sSub>
          <m:sSubPr>
            <m:ctrlPr>
              <w:rPr>
                <w:rFonts w:ascii="Cambria Math" w:hAnsi="Cambria Math" w:cs="Times New Roman"/>
                <w:b w:val="0"/>
                <w:i w:val="0"/>
                <w:iCs w:val="0"/>
                <w:sz w:val="24"/>
                <w:szCs w:val="24"/>
              </w:rPr>
            </m:ctrlPr>
          </m:sSubPr>
          <m:e>
            <m:r>
              <m:rPr>
                <m:sty m:val="bi"/>
              </m:rPr>
              <w:rPr>
                <w:rFonts w:ascii="Cambria Math" w:hAnsi="Cambria Math" w:cs="Times New Roman"/>
                <w:sz w:val="24"/>
                <w:szCs w:val="24"/>
              </w:rPr>
              <m:t>Hb</m:t>
            </m:r>
          </m:e>
          <m:sub>
            <m:r>
              <m:rPr>
                <m:sty m:val="bi"/>
              </m:rPr>
              <w:rPr>
                <w:rFonts w:ascii="Cambria Math" w:hAnsi="Cambria Math" w:cs="Times New Roman"/>
                <w:sz w:val="24"/>
                <w:szCs w:val="24"/>
              </w:rPr>
              <m:t>0,male</m:t>
            </m:r>
          </m:sub>
        </m:sSub>
        <m:r>
          <m:rPr>
            <m:sty m:val="bi"/>
          </m:rPr>
          <w:rPr>
            <w:rFonts w:ascii="Cambria Math" w:hAnsi="Cambria Math" w:cs="Times New Roman"/>
            <w:sz w:val="24"/>
            <w:szCs w:val="24"/>
          </w:rPr>
          <m:t>(1-</m:t>
        </m:r>
        <m:sSub>
          <m:sSubPr>
            <m:ctrlPr>
              <w:rPr>
                <w:rFonts w:ascii="Cambria Math" w:hAnsi="Cambria Math" w:cs="Times New Roman"/>
                <w:b w:val="0"/>
                <w:i w:val="0"/>
                <w:iCs w:val="0"/>
                <w:sz w:val="24"/>
                <w:szCs w:val="24"/>
              </w:rPr>
            </m:ctrlPr>
          </m:sSubPr>
          <m:e>
            <m:r>
              <m:rPr>
                <m:sty m:val="bi"/>
              </m:rPr>
              <w:rPr>
                <w:rFonts w:ascii="Cambria Math" w:hAnsi="Cambria Math" w:cs="Times New Roman"/>
                <w:sz w:val="24"/>
                <w:szCs w:val="24"/>
              </w:rPr>
              <m:t>θ</m:t>
            </m:r>
          </m:e>
          <m:sub>
            <m:r>
              <m:rPr>
                <m:sty m:val="bi"/>
              </m:rPr>
              <w:rPr>
                <w:rFonts w:ascii="Cambria Math" w:hAnsi="Cambria Math" w:cs="Times New Roman"/>
                <w:sz w:val="24"/>
                <w:szCs w:val="24"/>
              </w:rPr>
              <m:t>FEMALE</m:t>
            </m:r>
          </m:sub>
        </m:sSub>
        <m:r>
          <m:rPr>
            <m:sty m:val="bi"/>
          </m:rPr>
          <w:rPr>
            <w:rFonts w:ascii="Cambria Math" w:hAnsi="Cambria Math" w:cs="Times New Roman"/>
            <w:sz w:val="24"/>
            <w:szCs w:val="24"/>
          </w:rPr>
          <m:t>)</m:t>
        </m:r>
      </m:oMath>
      <w:r w:rsidR="00A67BF3" w:rsidRPr="00811399">
        <w:rPr>
          <w:rFonts w:cs="Times New Roman"/>
          <w:b w:val="0"/>
          <w:i w:val="0"/>
          <w:sz w:val="24"/>
          <w:szCs w:val="24"/>
        </w:rPr>
        <w:t xml:space="preserve"> where </w:t>
      </w:r>
      <m:oMath>
        <m:sSub>
          <m:sSubPr>
            <m:ctrlPr>
              <w:rPr>
                <w:rFonts w:ascii="Cambria Math" w:hAnsi="Cambria Math" w:cs="Times New Roman"/>
                <w:b w:val="0"/>
                <w:i w:val="0"/>
                <w:iCs w:val="0"/>
                <w:sz w:val="24"/>
                <w:szCs w:val="24"/>
              </w:rPr>
            </m:ctrlPr>
          </m:sSubPr>
          <m:e>
            <m:r>
              <m:rPr>
                <m:sty m:val="bi"/>
              </m:rPr>
              <w:rPr>
                <w:rFonts w:ascii="Cambria Math" w:hAnsi="Cambria Math" w:cs="Times New Roman"/>
                <w:sz w:val="24"/>
                <w:szCs w:val="24"/>
              </w:rPr>
              <m:t>Hb</m:t>
            </m:r>
          </m:e>
          <m:sub>
            <m:r>
              <m:rPr>
                <m:sty m:val="bi"/>
              </m:rPr>
              <w:rPr>
                <w:rFonts w:ascii="Cambria Math" w:hAnsi="Cambria Math" w:cs="Times New Roman"/>
                <w:sz w:val="24"/>
                <w:szCs w:val="24"/>
              </w:rPr>
              <m:t>0,male</m:t>
            </m:r>
          </m:sub>
        </m:sSub>
      </m:oMath>
      <w:r w:rsidR="00A67BF3" w:rsidRPr="00811399">
        <w:rPr>
          <w:rFonts w:cs="Times New Roman"/>
          <w:b w:val="0"/>
          <w:i w:val="0"/>
          <w:sz w:val="24"/>
          <w:szCs w:val="24"/>
        </w:rPr>
        <w:t xml:space="preserve"> is the median pretreatment hemoglobin level for males and </w:t>
      </w:r>
      <m:oMath>
        <m:sSub>
          <m:sSubPr>
            <m:ctrlPr>
              <w:rPr>
                <w:rFonts w:ascii="Cambria Math" w:hAnsi="Cambria Math" w:cs="Times New Roman"/>
                <w:b w:val="0"/>
                <w:i w:val="0"/>
                <w:iCs w:val="0"/>
                <w:sz w:val="24"/>
                <w:szCs w:val="24"/>
              </w:rPr>
            </m:ctrlPr>
          </m:sSubPr>
          <m:e>
            <m:r>
              <m:rPr>
                <m:sty m:val="bi"/>
              </m:rPr>
              <w:rPr>
                <w:rFonts w:ascii="Cambria Math" w:hAnsi="Cambria Math" w:cs="Times New Roman"/>
                <w:sz w:val="24"/>
                <w:szCs w:val="24"/>
              </w:rPr>
              <m:t>θ</m:t>
            </m:r>
          </m:e>
          <m:sub>
            <m:r>
              <m:rPr>
                <m:sty m:val="bi"/>
              </m:rPr>
              <w:rPr>
                <w:rFonts w:ascii="Cambria Math" w:hAnsi="Cambria Math" w:cs="Times New Roman"/>
                <w:sz w:val="24"/>
                <w:szCs w:val="24"/>
              </w:rPr>
              <m:t>FEMALE</m:t>
            </m:r>
          </m:sub>
        </m:sSub>
      </m:oMath>
      <w:r w:rsidR="00A67BF3" w:rsidRPr="00811399">
        <w:rPr>
          <w:rFonts w:cs="Times New Roman"/>
          <w:b w:val="0"/>
          <w:i w:val="0"/>
          <w:sz w:val="24"/>
          <w:szCs w:val="24"/>
        </w:rPr>
        <w:t xml:space="preserve"> is fractional decrease in pretreatment hemoglobin level for females compared to males</w:t>
      </w:r>
      <w:r w:rsidR="00A67BF3" w:rsidRPr="00014EF4">
        <w:rPr>
          <w:rFonts w:cs="Times New Roman"/>
          <w:b w:val="0"/>
          <w:i w:val="0"/>
          <w:sz w:val="24"/>
          <w:szCs w:val="24"/>
        </w:rPr>
        <w:t xml:space="preserve">. See Supplemental Table </w:t>
      </w:r>
      <w:r w:rsidR="00923C47" w:rsidRPr="00014EF4">
        <w:rPr>
          <w:rFonts w:cs="Times New Roman"/>
          <w:b w:val="0"/>
          <w:i w:val="0"/>
          <w:sz w:val="24"/>
          <w:szCs w:val="24"/>
        </w:rPr>
        <w:t>4</w:t>
      </w:r>
      <w:r w:rsidR="00A67BF3" w:rsidRPr="00014EF4">
        <w:rPr>
          <w:rFonts w:cs="Times New Roman"/>
          <w:b w:val="0"/>
          <w:i w:val="0"/>
          <w:sz w:val="24"/>
          <w:szCs w:val="24"/>
        </w:rPr>
        <w:t xml:space="preserve"> and Supplemental Methods for more details on structural and stochastic models.</w:t>
      </w:r>
    </w:p>
    <w:p w14:paraId="6E0AFE55" w14:textId="77777777" w:rsidR="00A67BF3" w:rsidRPr="00014EF4" w:rsidRDefault="00A67BF3" w:rsidP="006941F2"/>
    <w:tbl>
      <w:tblPr>
        <w:tblStyle w:val="TableGrid"/>
        <w:tblW w:w="0" w:type="auto"/>
        <w:tblLook w:val="04A0" w:firstRow="1" w:lastRow="0" w:firstColumn="1" w:lastColumn="0" w:noHBand="0" w:noVBand="1"/>
      </w:tblPr>
      <w:tblGrid>
        <w:gridCol w:w="265"/>
        <w:gridCol w:w="3690"/>
        <w:gridCol w:w="2278"/>
        <w:gridCol w:w="3117"/>
      </w:tblGrid>
      <w:tr w:rsidR="00A67BF3" w:rsidRPr="00014EF4" w14:paraId="59E47A92" w14:textId="77777777" w:rsidTr="00E45606">
        <w:tc>
          <w:tcPr>
            <w:tcW w:w="3955" w:type="dxa"/>
            <w:gridSpan w:val="2"/>
          </w:tcPr>
          <w:p w14:paraId="36CBECD4"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Parameter (units)</w:t>
            </w:r>
          </w:p>
        </w:tc>
        <w:tc>
          <w:tcPr>
            <w:tcW w:w="2278" w:type="dxa"/>
          </w:tcPr>
          <w:p w14:paraId="484954DC"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Estimate (RSE %)</w:t>
            </w:r>
          </w:p>
        </w:tc>
        <w:tc>
          <w:tcPr>
            <w:tcW w:w="3117" w:type="dxa"/>
          </w:tcPr>
          <w:p w14:paraId="40495F94"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CV % (RSE %)</w:t>
            </w:r>
          </w:p>
        </w:tc>
      </w:tr>
      <w:tr w:rsidR="00A67BF3" w:rsidRPr="00014EF4" w14:paraId="1619CB47" w14:textId="77777777" w:rsidTr="00E45606">
        <w:tc>
          <w:tcPr>
            <w:tcW w:w="3955" w:type="dxa"/>
            <w:gridSpan w:val="2"/>
          </w:tcPr>
          <w:p w14:paraId="2D3F09A8"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Pretreatment hemoglobin level for males, </w:t>
            </w:r>
            <m:oMath>
              <m:sSub>
                <m:sSubPr>
                  <m:ctrlPr>
                    <w:rPr>
                      <w:rFonts w:ascii="Cambria Math" w:hAnsi="Cambria Math" w:cs="Times New Roman"/>
                      <w:i/>
                    </w:rPr>
                  </m:ctrlPr>
                </m:sSubPr>
                <m:e>
                  <m:r>
                    <w:rPr>
                      <w:rFonts w:ascii="Cambria Math" w:hAnsi="Cambria Math" w:cs="Times New Roman"/>
                    </w:rPr>
                    <m:t>Hb</m:t>
                  </m:r>
                </m:e>
                <m:sub>
                  <m:r>
                    <m:rPr>
                      <m:sty m:val="p"/>
                    </m:rPr>
                    <w:rPr>
                      <w:rFonts w:ascii="Cambria Math" w:hAnsi="Cambria Math" w:cs="Times New Roman"/>
                    </w:rPr>
                    <m:t>0,</m:t>
                  </m:r>
                  <m:r>
                    <w:rPr>
                      <w:rFonts w:ascii="Cambria Math" w:hAnsi="Cambria Math" w:cs="Times New Roman"/>
                    </w:rPr>
                    <m:t>male</m:t>
                  </m:r>
                </m:sub>
              </m:sSub>
            </m:oMath>
            <w:r w:rsidRPr="00014EF4">
              <w:rPr>
                <w:rFonts w:ascii="Times New Roman" w:hAnsi="Times New Roman" w:cs="Times New Roman"/>
              </w:rPr>
              <w:t xml:space="preserve"> (g/dL)</w:t>
            </w:r>
          </w:p>
        </w:tc>
        <w:tc>
          <w:tcPr>
            <w:tcW w:w="2278" w:type="dxa"/>
          </w:tcPr>
          <w:p w14:paraId="66624AF8"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13 (2)</w:t>
            </w:r>
          </w:p>
        </w:tc>
        <w:tc>
          <w:tcPr>
            <w:tcW w:w="3117" w:type="dxa"/>
          </w:tcPr>
          <w:p w14:paraId="63E2FD3C" w14:textId="334F3CC9" w:rsidR="00A67BF3" w:rsidRPr="00014EF4" w:rsidRDefault="00A67BF3" w:rsidP="00386B99">
            <w:pPr>
              <w:rPr>
                <w:rFonts w:ascii="Times New Roman" w:hAnsi="Times New Roman" w:cs="Times New Roman"/>
              </w:rPr>
            </w:pPr>
            <w:r w:rsidRPr="00014EF4">
              <w:rPr>
                <w:rFonts w:ascii="Times New Roman" w:hAnsi="Times New Roman" w:cs="Times New Roman"/>
              </w:rPr>
              <w:t>12 (</w:t>
            </w:r>
            <w:r w:rsidR="00D46314">
              <w:rPr>
                <w:rFonts w:ascii="Times New Roman" w:hAnsi="Times New Roman" w:cs="Times New Roman"/>
              </w:rPr>
              <w:t>19</w:t>
            </w:r>
            <w:r w:rsidRPr="00014EF4">
              <w:rPr>
                <w:rFonts w:ascii="Times New Roman" w:hAnsi="Times New Roman" w:cs="Times New Roman"/>
              </w:rPr>
              <w:t>)</w:t>
            </w:r>
          </w:p>
        </w:tc>
      </w:tr>
      <w:tr w:rsidR="00A67BF3" w:rsidRPr="00014EF4" w14:paraId="62F67F0A" w14:textId="77777777" w:rsidTr="00E45606">
        <w:tc>
          <w:tcPr>
            <w:tcW w:w="3955" w:type="dxa"/>
            <w:gridSpan w:val="2"/>
          </w:tcPr>
          <w:p w14:paraId="76982C85"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1/rate of elimination of hemoglobin [1/</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out</m:t>
                  </m:r>
                </m:sub>
              </m:sSub>
            </m:oMath>
            <w:r w:rsidRPr="00014EF4">
              <w:rPr>
                <w:rFonts w:ascii="Times New Roman" w:hAnsi="Times New Roman" w:cs="Times New Roman"/>
              </w:rPr>
              <w:t xml:space="preserve"> ] (h)</w:t>
            </w:r>
          </w:p>
        </w:tc>
        <w:tc>
          <w:tcPr>
            <w:tcW w:w="2278" w:type="dxa"/>
          </w:tcPr>
          <w:p w14:paraId="46F0E054" w14:textId="642DBF59" w:rsidR="00A67BF3" w:rsidRPr="00014EF4" w:rsidRDefault="00A67BF3" w:rsidP="00386B99">
            <w:pPr>
              <w:rPr>
                <w:rFonts w:ascii="Times New Roman" w:hAnsi="Times New Roman" w:cs="Times New Roman"/>
              </w:rPr>
            </w:pPr>
            <w:r w:rsidRPr="00014EF4">
              <w:rPr>
                <w:rFonts w:ascii="Times New Roman" w:hAnsi="Times New Roman" w:cs="Times New Roman"/>
              </w:rPr>
              <w:t>36</w:t>
            </w:r>
            <w:r w:rsidR="005E3A5E">
              <w:rPr>
                <w:rFonts w:ascii="Times New Roman" w:hAnsi="Times New Roman" w:cs="Times New Roman"/>
              </w:rPr>
              <w:t>49</w:t>
            </w:r>
            <w:r w:rsidRPr="00014EF4">
              <w:rPr>
                <w:rFonts w:ascii="Times New Roman" w:hAnsi="Times New Roman" w:cs="Times New Roman"/>
              </w:rPr>
              <w:t xml:space="preserve"> (</w:t>
            </w:r>
            <w:r w:rsidR="005E3A5E">
              <w:rPr>
                <w:rFonts w:ascii="Times New Roman" w:hAnsi="Times New Roman" w:cs="Times New Roman"/>
              </w:rPr>
              <w:t>8</w:t>
            </w:r>
            <w:r w:rsidRPr="00014EF4">
              <w:rPr>
                <w:rFonts w:ascii="Times New Roman" w:hAnsi="Times New Roman" w:cs="Times New Roman"/>
              </w:rPr>
              <w:t>)</w:t>
            </w:r>
          </w:p>
        </w:tc>
        <w:tc>
          <w:tcPr>
            <w:tcW w:w="3117" w:type="dxa"/>
          </w:tcPr>
          <w:p w14:paraId="21DAD3A7" w14:textId="45CA45FA" w:rsidR="00A67BF3" w:rsidRPr="00014EF4" w:rsidRDefault="00D46314" w:rsidP="00386B99">
            <w:pPr>
              <w:rPr>
                <w:rFonts w:ascii="Times New Roman" w:hAnsi="Times New Roman" w:cs="Times New Roman"/>
              </w:rPr>
            </w:pPr>
            <w:r>
              <w:rPr>
                <w:rFonts w:ascii="Times New Roman" w:hAnsi="Times New Roman" w:cs="Times New Roman"/>
              </w:rPr>
              <w:t>104</w:t>
            </w:r>
            <w:r w:rsidR="00A67BF3" w:rsidRPr="00014EF4">
              <w:rPr>
                <w:rFonts w:ascii="Times New Roman" w:hAnsi="Times New Roman" w:cs="Times New Roman"/>
              </w:rPr>
              <w:t xml:space="preserve"> (</w:t>
            </w:r>
            <w:r>
              <w:rPr>
                <w:rFonts w:ascii="Times New Roman" w:hAnsi="Times New Roman" w:cs="Times New Roman"/>
              </w:rPr>
              <w:t>22</w:t>
            </w:r>
            <w:r w:rsidR="00A67BF3" w:rsidRPr="00014EF4">
              <w:rPr>
                <w:rFonts w:ascii="Times New Roman" w:hAnsi="Times New Roman" w:cs="Times New Roman"/>
              </w:rPr>
              <w:t>)</w:t>
            </w:r>
          </w:p>
        </w:tc>
      </w:tr>
      <w:tr w:rsidR="00A67BF3" w:rsidRPr="00014EF4" w14:paraId="105F2D24" w14:textId="77777777" w:rsidTr="00E45606">
        <w:tc>
          <w:tcPr>
            <w:tcW w:w="3955" w:type="dxa"/>
            <w:gridSpan w:val="2"/>
          </w:tcPr>
          <w:p w14:paraId="25748684"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Logistic growth rate for treatment progression*1000, </w:t>
            </w: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rate</m:t>
                  </m:r>
                </m:sub>
              </m:sSub>
            </m:oMath>
            <w:r w:rsidRPr="00014EF4">
              <w:rPr>
                <w:rFonts w:ascii="Times New Roman" w:eastAsiaTheme="minorEastAsia" w:hAnsi="Times New Roman" w:cs="Times New Roman"/>
              </w:rPr>
              <w:t>*1000</w:t>
            </w:r>
            <w:r w:rsidRPr="00014EF4">
              <w:rPr>
                <w:rFonts w:ascii="Times New Roman" w:hAnsi="Times New Roman" w:cs="Times New Roman"/>
              </w:rPr>
              <w:t xml:space="preserve">  (1/h)</w:t>
            </w:r>
          </w:p>
        </w:tc>
        <w:tc>
          <w:tcPr>
            <w:tcW w:w="2278" w:type="dxa"/>
          </w:tcPr>
          <w:p w14:paraId="02592E4E" w14:textId="12198A88" w:rsidR="00A67BF3" w:rsidRPr="00014EF4" w:rsidRDefault="00A67BF3" w:rsidP="00386B99">
            <w:pPr>
              <w:rPr>
                <w:rFonts w:ascii="Times New Roman" w:hAnsi="Times New Roman" w:cs="Times New Roman"/>
              </w:rPr>
            </w:pPr>
            <w:r w:rsidRPr="00014EF4">
              <w:rPr>
                <w:rFonts w:ascii="Times New Roman" w:hAnsi="Times New Roman" w:cs="Times New Roman"/>
              </w:rPr>
              <w:t>0.</w:t>
            </w:r>
            <w:r w:rsidR="005E3A5E">
              <w:rPr>
                <w:rFonts w:ascii="Times New Roman" w:hAnsi="Times New Roman" w:cs="Times New Roman"/>
              </w:rPr>
              <w:t>69</w:t>
            </w:r>
            <w:r w:rsidRPr="00014EF4">
              <w:rPr>
                <w:rFonts w:ascii="Times New Roman" w:hAnsi="Times New Roman" w:cs="Times New Roman"/>
              </w:rPr>
              <w:t xml:space="preserve"> (1</w:t>
            </w:r>
            <w:r w:rsidR="005E3A5E">
              <w:rPr>
                <w:rFonts w:ascii="Times New Roman" w:hAnsi="Times New Roman" w:cs="Times New Roman"/>
              </w:rPr>
              <w:t>3</w:t>
            </w:r>
            <w:r w:rsidRPr="00014EF4">
              <w:rPr>
                <w:rFonts w:ascii="Times New Roman" w:hAnsi="Times New Roman" w:cs="Times New Roman"/>
              </w:rPr>
              <w:t>)</w:t>
            </w:r>
          </w:p>
        </w:tc>
        <w:tc>
          <w:tcPr>
            <w:tcW w:w="3117" w:type="dxa"/>
          </w:tcPr>
          <w:p w14:paraId="32520A3A" w14:textId="689E30CD" w:rsidR="00A67BF3" w:rsidRPr="00014EF4" w:rsidRDefault="00D46314" w:rsidP="00386B99">
            <w:pPr>
              <w:rPr>
                <w:rFonts w:ascii="Times New Roman" w:hAnsi="Times New Roman" w:cs="Times New Roman"/>
              </w:rPr>
            </w:pPr>
            <w:r>
              <w:rPr>
                <w:rFonts w:ascii="Times New Roman" w:hAnsi="Times New Roman" w:cs="Times New Roman"/>
              </w:rPr>
              <w:t>64</w:t>
            </w:r>
            <w:r w:rsidR="00A67BF3" w:rsidRPr="00014EF4">
              <w:rPr>
                <w:rFonts w:ascii="Times New Roman" w:hAnsi="Times New Roman" w:cs="Times New Roman"/>
              </w:rPr>
              <w:t xml:space="preserve"> (2</w:t>
            </w:r>
            <w:r>
              <w:rPr>
                <w:rFonts w:ascii="Times New Roman" w:hAnsi="Times New Roman" w:cs="Times New Roman"/>
              </w:rPr>
              <w:t>5</w:t>
            </w:r>
            <w:r w:rsidR="00A67BF3" w:rsidRPr="00014EF4">
              <w:rPr>
                <w:rFonts w:ascii="Times New Roman" w:hAnsi="Times New Roman" w:cs="Times New Roman"/>
              </w:rPr>
              <w:t>)</w:t>
            </w:r>
          </w:p>
        </w:tc>
      </w:tr>
      <w:tr w:rsidR="00A67BF3" w:rsidRPr="00014EF4" w14:paraId="3B206C47" w14:textId="77777777" w:rsidTr="00E45606">
        <w:tc>
          <w:tcPr>
            <w:tcW w:w="3955" w:type="dxa"/>
            <w:gridSpan w:val="2"/>
          </w:tcPr>
          <w:p w14:paraId="2E536EEF"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Logistic growth capacity for treatment progression, </w:t>
            </w: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oMath>
            <w:r w:rsidRPr="00014EF4">
              <w:rPr>
                <w:rFonts w:ascii="Times New Roman" w:hAnsi="Times New Roman" w:cs="Times New Roman"/>
              </w:rPr>
              <w:t xml:space="preserve"> (g/dL)</w:t>
            </w:r>
          </w:p>
        </w:tc>
        <w:tc>
          <w:tcPr>
            <w:tcW w:w="2278" w:type="dxa"/>
          </w:tcPr>
          <w:p w14:paraId="51D38AC9" w14:textId="3494CB2D" w:rsidR="00A67BF3" w:rsidRPr="00014EF4" w:rsidRDefault="00A67BF3" w:rsidP="00386B99">
            <w:pPr>
              <w:rPr>
                <w:rFonts w:ascii="Times New Roman" w:hAnsi="Times New Roman" w:cs="Times New Roman"/>
              </w:rPr>
            </w:pPr>
            <w:r w:rsidRPr="00014EF4">
              <w:rPr>
                <w:rFonts w:ascii="Times New Roman" w:hAnsi="Times New Roman" w:cs="Times New Roman"/>
              </w:rPr>
              <w:t>1</w:t>
            </w:r>
            <w:r w:rsidR="005E3A5E">
              <w:rPr>
                <w:rFonts w:ascii="Times New Roman" w:hAnsi="Times New Roman" w:cs="Times New Roman"/>
              </w:rPr>
              <w:t>7</w:t>
            </w:r>
            <w:r w:rsidRPr="00014EF4">
              <w:rPr>
                <w:rFonts w:ascii="Times New Roman" w:hAnsi="Times New Roman" w:cs="Times New Roman"/>
              </w:rPr>
              <w:t xml:space="preserve"> (</w:t>
            </w:r>
            <w:r w:rsidR="005E3A5E">
              <w:rPr>
                <w:rFonts w:ascii="Times New Roman" w:hAnsi="Times New Roman" w:cs="Times New Roman"/>
              </w:rPr>
              <w:t>4</w:t>
            </w:r>
            <w:r w:rsidRPr="00014EF4">
              <w:rPr>
                <w:rFonts w:ascii="Times New Roman" w:hAnsi="Times New Roman" w:cs="Times New Roman"/>
              </w:rPr>
              <w:t>)</w:t>
            </w:r>
          </w:p>
        </w:tc>
        <w:tc>
          <w:tcPr>
            <w:tcW w:w="3117" w:type="dxa"/>
          </w:tcPr>
          <w:p w14:paraId="3B801132" w14:textId="709FE7AD" w:rsidR="00A67BF3" w:rsidRPr="00014EF4" w:rsidRDefault="00A67BF3" w:rsidP="00386B99">
            <w:pPr>
              <w:rPr>
                <w:rFonts w:ascii="Times New Roman" w:hAnsi="Times New Roman" w:cs="Times New Roman"/>
              </w:rPr>
            </w:pPr>
            <w:r w:rsidRPr="00014EF4">
              <w:rPr>
                <w:rFonts w:ascii="Times New Roman" w:hAnsi="Times New Roman" w:cs="Times New Roman"/>
              </w:rPr>
              <w:t>2</w:t>
            </w:r>
            <w:r w:rsidR="00D46314">
              <w:rPr>
                <w:rFonts w:ascii="Times New Roman" w:hAnsi="Times New Roman" w:cs="Times New Roman"/>
              </w:rPr>
              <w:t>5</w:t>
            </w:r>
            <w:r w:rsidRPr="00014EF4">
              <w:rPr>
                <w:rFonts w:ascii="Times New Roman" w:hAnsi="Times New Roman" w:cs="Times New Roman"/>
              </w:rPr>
              <w:t xml:space="preserve"> (2</w:t>
            </w:r>
            <w:r w:rsidR="00D46314">
              <w:rPr>
                <w:rFonts w:ascii="Times New Roman" w:hAnsi="Times New Roman" w:cs="Times New Roman"/>
              </w:rPr>
              <w:t>5</w:t>
            </w:r>
            <w:r w:rsidRPr="00014EF4">
              <w:rPr>
                <w:rFonts w:ascii="Times New Roman" w:hAnsi="Times New Roman" w:cs="Times New Roman"/>
              </w:rPr>
              <w:t>)</w:t>
            </w:r>
          </w:p>
        </w:tc>
      </w:tr>
      <w:tr w:rsidR="00A67BF3" w:rsidRPr="00014EF4" w14:paraId="28AEABBF" w14:textId="77777777" w:rsidTr="00E45606">
        <w:tc>
          <w:tcPr>
            <w:tcW w:w="3955" w:type="dxa"/>
            <w:gridSpan w:val="2"/>
          </w:tcPr>
          <w:p w14:paraId="65E6B3B6" w14:textId="4187D5A7"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Hb</m:t>
                  </m:r>
                </m:sub>
              </m:sSub>
            </m:oMath>
            <w:r w:rsidR="00A67BF3" w:rsidRPr="00014EF4">
              <w:rPr>
                <w:rFonts w:ascii="Times New Roman" w:hAnsi="Times New Roman" w:cs="Times New Roman"/>
              </w:rPr>
              <w:t xml:space="preserve"> (mg/L)</w:t>
            </w:r>
          </w:p>
        </w:tc>
        <w:tc>
          <w:tcPr>
            <w:tcW w:w="2278" w:type="dxa"/>
          </w:tcPr>
          <w:p w14:paraId="5E8937BD" w14:textId="3DE76B73" w:rsidR="00A67BF3" w:rsidRPr="00014EF4" w:rsidRDefault="00D46314" w:rsidP="00386B99">
            <w:pPr>
              <w:rPr>
                <w:rFonts w:ascii="Times New Roman" w:hAnsi="Times New Roman" w:cs="Times New Roman"/>
              </w:rPr>
            </w:pPr>
            <w:r>
              <w:rPr>
                <w:rFonts w:ascii="Times New Roman" w:hAnsi="Times New Roman" w:cs="Times New Roman"/>
              </w:rPr>
              <w:t>6.9</w:t>
            </w:r>
            <w:r w:rsidR="00A67BF3" w:rsidRPr="00014EF4">
              <w:rPr>
                <w:rFonts w:ascii="Times New Roman" w:hAnsi="Times New Roman" w:cs="Times New Roman"/>
              </w:rPr>
              <w:t xml:space="preserve"> (1</w:t>
            </w:r>
            <w:r>
              <w:rPr>
                <w:rFonts w:ascii="Times New Roman" w:hAnsi="Times New Roman" w:cs="Times New Roman"/>
              </w:rPr>
              <w:t>3</w:t>
            </w:r>
            <w:r w:rsidR="00A67BF3" w:rsidRPr="00014EF4">
              <w:rPr>
                <w:rFonts w:ascii="Times New Roman" w:hAnsi="Times New Roman" w:cs="Times New Roman"/>
              </w:rPr>
              <w:t>)</w:t>
            </w:r>
          </w:p>
        </w:tc>
        <w:tc>
          <w:tcPr>
            <w:tcW w:w="3117" w:type="dxa"/>
          </w:tcPr>
          <w:p w14:paraId="512C39B5" w14:textId="377A50B5" w:rsidR="00A67BF3" w:rsidRPr="00014EF4" w:rsidRDefault="00D46314" w:rsidP="00386B99">
            <w:pPr>
              <w:rPr>
                <w:rFonts w:ascii="Times New Roman" w:hAnsi="Times New Roman" w:cs="Times New Roman"/>
              </w:rPr>
            </w:pPr>
            <w:r>
              <w:rPr>
                <w:rFonts w:ascii="Times New Roman" w:hAnsi="Times New Roman" w:cs="Times New Roman"/>
              </w:rPr>
              <w:t>69</w:t>
            </w:r>
            <w:r w:rsidR="00A67BF3" w:rsidRPr="00014EF4">
              <w:rPr>
                <w:rFonts w:ascii="Times New Roman" w:hAnsi="Times New Roman" w:cs="Times New Roman"/>
              </w:rPr>
              <w:t xml:space="preserve"> (</w:t>
            </w:r>
            <w:r>
              <w:rPr>
                <w:rFonts w:ascii="Times New Roman" w:hAnsi="Times New Roman" w:cs="Times New Roman"/>
              </w:rPr>
              <w:t>31</w:t>
            </w:r>
            <w:r w:rsidR="00A67BF3" w:rsidRPr="00014EF4">
              <w:rPr>
                <w:rFonts w:ascii="Times New Roman" w:hAnsi="Times New Roman" w:cs="Times New Roman"/>
              </w:rPr>
              <w:t>)</w:t>
            </w:r>
          </w:p>
        </w:tc>
      </w:tr>
      <w:tr w:rsidR="00A67BF3" w:rsidRPr="00014EF4" w14:paraId="025008C6" w14:textId="77777777" w:rsidTr="00E45606">
        <w:tc>
          <w:tcPr>
            <w:tcW w:w="3955" w:type="dxa"/>
            <w:gridSpan w:val="2"/>
          </w:tcPr>
          <w:p w14:paraId="4FFF93CE" w14:textId="6A76FF67"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Hb</m:t>
                  </m:r>
                </m:sub>
              </m:sSub>
            </m:oMath>
            <w:r w:rsidR="00A67BF3" w:rsidRPr="00014EF4">
              <w:rPr>
                <w:rFonts w:ascii="Times New Roman" w:hAnsi="Times New Roman" w:cs="Times New Roman"/>
              </w:rPr>
              <w:t xml:space="preserve"> (%)</w:t>
            </w:r>
          </w:p>
        </w:tc>
        <w:tc>
          <w:tcPr>
            <w:tcW w:w="2278" w:type="dxa"/>
          </w:tcPr>
          <w:p w14:paraId="1AD62260"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100 FIX</w:t>
            </w:r>
          </w:p>
        </w:tc>
        <w:tc>
          <w:tcPr>
            <w:tcW w:w="3117" w:type="dxa"/>
          </w:tcPr>
          <w:p w14:paraId="23F17CDE" w14:textId="77777777" w:rsidR="00A67BF3" w:rsidRPr="00014EF4" w:rsidRDefault="00A67BF3" w:rsidP="00386B99">
            <w:pPr>
              <w:rPr>
                <w:rFonts w:ascii="Times New Roman" w:hAnsi="Times New Roman" w:cs="Times New Roman"/>
              </w:rPr>
            </w:pPr>
          </w:p>
        </w:tc>
      </w:tr>
      <w:tr w:rsidR="00A67BF3" w:rsidRPr="00014EF4" w14:paraId="67B72DFF" w14:textId="77777777" w:rsidTr="00E45606">
        <w:tc>
          <w:tcPr>
            <w:tcW w:w="3955" w:type="dxa"/>
            <w:gridSpan w:val="2"/>
          </w:tcPr>
          <w:p w14:paraId="536D4947" w14:textId="77777777"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Hb</m:t>
                  </m:r>
                </m:sub>
              </m:sSub>
            </m:oMath>
            <w:r w:rsidR="00A67BF3" w:rsidRPr="00014EF4">
              <w:rPr>
                <w:rFonts w:ascii="Times New Roman" w:hAnsi="Times New Roman" w:cs="Times New Roman"/>
              </w:rPr>
              <w:t xml:space="preserve"> </w:t>
            </w:r>
          </w:p>
        </w:tc>
        <w:tc>
          <w:tcPr>
            <w:tcW w:w="2278" w:type="dxa"/>
          </w:tcPr>
          <w:p w14:paraId="22A10F39"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10 FIX</w:t>
            </w:r>
          </w:p>
        </w:tc>
        <w:tc>
          <w:tcPr>
            <w:tcW w:w="3117" w:type="dxa"/>
          </w:tcPr>
          <w:p w14:paraId="17D1D3CD" w14:textId="77777777" w:rsidR="00A67BF3" w:rsidRPr="00014EF4" w:rsidRDefault="00A67BF3" w:rsidP="00386B99">
            <w:pPr>
              <w:rPr>
                <w:rFonts w:ascii="Times New Roman" w:hAnsi="Times New Roman" w:cs="Times New Roman"/>
              </w:rPr>
            </w:pPr>
          </w:p>
        </w:tc>
      </w:tr>
      <w:tr w:rsidR="00A67BF3" w:rsidRPr="00014EF4" w14:paraId="6E200008" w14:textId="77777777" w:rsidTr="00E45606">
        <w:tc>
          <w:tcPr>
            <w:tcW w:w="3955" w:type="dxa"/>
            <w:gridSpan w:val="2"/>
          </w:tcPr>
          <w:p w14:paraId="796C7742"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Fractional decrease in pretreatment hemoglobin level for females,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FEMALE</m:t>
                  </m:r>
                </m:sub>
              </m:sSub>
            </m:oMath>
            <w:r w:rsidRPr="00014EF4">
              <w:rPr>
                <w:rFonts w:ascii="Times New Roman" w:hAnsi="Times New Roman" w:cs="Times New Roman"/>
              </w:rPr>
              <w:t xml:space="preserve"> </w:t>
            </w:r>
          </w:p>
        </w:tc>
        <w:tc>
          <w:tcPr>
            <w:tcW w:w="2278" w:type="dxa"/>
          </w:tcPr>
          <w:p w14:paraId="51282732" w14:textId="5A600C16" w:rsidR="00A67BF3" w:rsidRPr="00014EF4" w:rsidRDefault="00A67BF3" w:rsidP="00386B99">
            <w:pPr>
              <w:rPr>
                <w:rFonts w:ascii="Times New Roman" w:hAnsi="Times New Roman" w:cs="Times New Roman"/>
              </w:rPr>
            </w:pPr>
            <w:r w:rsidRPr="00014EF4">
              <w:rPr>
                <w:rFonts w:ascii="Times New Roman" w:hAnsi="Times New Roman" w:cs="Times New Roman"/>
              </w:rPr>
              <w:t>0.1</w:t>
            </w:r>
            <w:r w:rsidR="00D46314">
              <w:rPr>
                <w:rFonts w:ascii="Times New Roman" w:hAnsi="Times New Roman" w:cs="Times New Roman"/>
              </w:rPr>
              <w:t>1</w:t>
            </w:r>
            <w:r w:rsidRPr="00014EF4">
              <w:rPr>
                <w:rFonts w:ascii="Times New Roman" w:hAnsi="Times New Roman" w:cs="Times New Roman"/>
              </w:rPr>
              <w:t xml:space="preserve"> (</w:t>
            </w:r>
            <w:r w:rsidR="00D46314">
              <w:rPr>
                <w:rFonts w:ascii="Times New Roman" w:hAnsi="Times New Roman" w:cs="Times New Roman"/>
              </w:rPr>
              <w:t>19</w:t>
            </w:r>
            <w:r w:rsidRPr="00014EF4">
              <w:rPr>
                <w:rFonts w:ascii="Times New Roman" w:hAnsi="Times New Roman" w:cs="Times New Roman"/>
              </w:rPr>
              <w:t>)</w:t>
            </w:r>
          </w:p>
        </w:tc>
        <w:tc>
          <w:tcPr>
            <w:tcW w:w="3117" w:type="dxa"/>
          </w:tcPr>
          <w:p w14:paraId="0C748BB3" w14:textId="77777777" w:rsidR="00A67BF3" w:rsidRPr="00014EF4" w:rsidRDefault="00A67BF3" w:rsidP="00386B99">
            <w:pPr>
              <w:rPr>
                <w:rFonts w:ascii="Times New Roman" w:hAnsi="Times New Roman" w:cs="Times New Roman"/>
              </w:rPr>
            </w:pPr>
          </w:p>
        </w:tc>
      </w:tr>
      <w:tr w:rsidR="00A67BF3" w:rsidRPr="00014EF4" w14:paraId="7DB8B3F7" w14:textId="77777777" w:rsidTr="00E45606">
        <w:tc>
          <w:tcPr>
            <w:tcW w:w="3955" w:type="dxa"/>
            <w:gridSpan w:val="2"/>
          </w:tcPr>
          <w:p w14:paraId="5CAE20F9"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Standard deviation of additive residual error, </w:t>
            </w:r>
            <m:oMath>
              <m:r>
                <w:rPr>
                  <w:rFonts w:ascii="Cambria Math" w:hAnsi="Cambria Math" w:cs="Times New Roman"/>
                </w:rPr>
                <m:t>σ</m:t>
              </m:r>
            </m:oMath>
            <w:r w:rsidRPr="00014EF4">
              <w:rPr>
                <w:rFonts w:ascii="Times New Roman" w:hAnsi="Times New Roman" w:cs="Times New Roman"/>
              </w:rPr>
              <w:t xml:space="preserve"> (g/dL)</w:t>
            </w:r>
          </w:p>
        </w:tc>
        <w:tc>
          <w:tcPr>
            <w:tcW w:w="2278" w:type="dxa"/>
          </w:tcPr>
          <w:p w14:paraId="1F33EA38" w14:textId="29EFC17B" w:rsidR="00A67BF3" w:rsidRPr="00014EF4" w:rsidRDefault="00A67BF3" w:rsidP="00386B99">
            <w:pPr>
              <w:rPr>
                <w:rFonts w:ascii="Times New Roman" w:hAnsi="Times New Roman" w:cs="Times New Roman"/>
              </w:rPr>
            </w:pPr>
            <w:r w:rsidRPr="00014EF4">
              <w:rPr>
                <w:rFonts w:ascii="Times New Roman" w:hAnsi="Times New Roman" w:cs="Times New Roman"/>
              </w:rPr>
              <w:t>0.</w:t>
            </w:r>
            <w:r w:rsidR="00D46314">
              <w:rPr>
                <w:rFonts w:ascii="Times New Roman" w:hAnsi="Times New Roman" w:cs="Times New Roman"/>
              </w:rPr>
              <w:t>66</w:t>
            </w:r>
            <w:r w:rsidRPr="00014EF4">
              <w:rPr>
                <w:rFonts w:ascii="Times New Roman" w:hAnsi="Times New Roman" w:cs="Times New Roman"/>
              </w:rPr>
              <w:t xml:space="preserve"> (</w:t>
            </w:r>
            <w:r w:rsidR="00D46314">
              <w:rPr>
                <w:rFonts w:ascii="Times New Roman" w:hAnsi="Times New Roman" w:cs="Times New Roman"/>
              </w:rPr>
              <w:t>5</w:t>
            </w:r>
            <w:r w:rsidRPr="00014EF4">
              <w:rPr>
                <w:rFonts w:ascii="Times New Roman" w:hAnsi="Times New Roman" w:cs="Times New Roman"/>
              </w:rPr>
              <w:t>)</w:t>
            </w:r>
          </w:p>
        </w:tc>
        <w:tc>
          <w:tcPr>
            <w:tcW w:w="3117" w:type="dxa"/>
          </w:tcPr>
          <w:p w14:paraId="25AD2031" w14:textId="77777777" w:rsidR="00A67BF3" w:rsidRPr="00014EF4" w:rsidRDefault="00A67BF3" w:rsidP="00386B99">
            <w:pPr>
              <w:rPr>
                <w:rFonts w:ascii="Times New Roman" w:hAnsi="Times New Roman" w:cs="Times New Roman"/>
              </w:rPr>
            </w:pPr>
          </w:p>
        </w:tc>
      </w:tr>
      <w:tr w:rsidR="00A67BF3" w:rsidRPr="00014EF4" w14:paraId="22D01F40" w14:textId="77777777" w:rsidTr="00E45606">
        <w:tc>
          <w:tcPr>
            <w:tcW w:w="3955" w:type="dxa"/>
            <w:gridSpan w:val="2"/>
          </w:tcPr>
          <w:p w14:paraId="31DD0577"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Correlations between random effects: </w:t>
            </w:r>
          </w:p>
        </w:tc>
        <w:tc>
          <w:tcPr>
            <w:tcW w:w="2278" w:type="dxa"/>
          </w:tcPr>
          <w:p w14:paraId="07276E17" w14:textId="77777777" w:rsidR="00A67BF3" w:rsidRPr="00014EF4" w:rsidRDefault="00A67BF3" w:rsidP="00386B99">
            <w:pPr>
              <w:rPr>
                <w:rFonts w:ascii="Times New Roman" w:hAnsi="Times New Roman" w:cs="Times New Roman"/>
              </w:rPr>
            </w:pPr>
          </w:p>
        </w:tc>
        <w:tc>
          <w:tcPr>
            <w:tcW w:w="3117" w:type="dxa"/>
          </w:tcPr>
          <w:p w14:paraId="0EB72341" w14:textId="77777777" w:rsidR="00A67BF3" w:rsidRPr="00014EF4" w:rsidRDefault="00A67BF3" w:rsidP="00386B99">
            <w:pPr>
              <w:rPr>
                <w:rFonts w:ascii="Times New Roman" w:hAnsi="Times New Roman" w:cs="Times New Roman"/>
              </w:rPr>
            </w:pPr>
          </w:p>
        </w:tc>
      </w:tr>
      <w:tr w:rsidR="00A67BF3" w:rsidRPr="008138BB" w14:paraId="2D011F57" w14:textId="77777777" w:rsidTr="00E45606">
        <w:tc>
          <w:tcPr>
            <w:tcW w:w="265" w:type="dxa"/>
          </w:tcPr>
          <w:p w14:paraId="254B9B4A" w14:textId="77777777" w:rsidR="00A67BF3" w:rsidRPr="00014EF4" w:rsidRDefault="00A67BF3" w:rsidP="00393591">
            <w:pPr>
              <w:rPr>
                <w:rFonts w:ascii="Times New Roman" w:hAnsi="Times New Roman" w:cs="Times New Roman"/>
              </w:rPr>
            </w:pPr>
            <w:bookmarkStart w:id="2" w:name="_Hlk39840121"/>
          </w:p>
        </w:tc>
        <w:tc>
          <w:tcPr>
            <w:tcW w:w="3690" w:type="dxa"/>
          </w:tcPr>
          <w:p w14:paraId="609132D5" w14:textId="77777777" w:rsidR="00A67BF3" w:rsidRPr="008138BB" w:rsidRDefault="00E90ACF" w:rsidP="00393591">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rate</m:t>
                  </m:r>
                </m:sub>
              </m:sSub>
            </m:oMath>
            <w:r w:rsidR="00A67BF3" w:rsidRPr="008138BB" w:rsidDel="00E435BE">
              <w:rPr>
                <w:rFonts w:ascii="Times New Roman" w:hAnsi="Times New Roman" w:cs="Times New Roman"/>
              </w:rPr>
              <w:t xml:space="preserve"> </w:t>
            </w:r>
            <w:r w:rsidR="00A67BF3" w:rsidRPr="008138BB">
              <w:rPr>
                <w:rFonts w:ascii="Times New Roman" w:hAnsi="Times New Roman" w:cs="Times New Roman"/>
              </w:rPr>
              <w:t xml:space="preserve">and </w:t>
            </w: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oMath>
          </w:p>
        </w:tc>
        <w:tc>
          <w:tcPr>
            <w:tcW w:w="2278" w:type="dxa"/>
          </w:tcPr>
          <w:p w14:paraId="3D580420" w14:textId="057CB34A" w:rsidR="00A67BF3" w:rsidRPr="008138BB" w:rsidRDefault="00A67BF3" w:rsidP="00393591">
            <w:pPr>
              <w:rPr>
                <w:rFonts w:ascii="Times New Roman" w:hAnsi="Times New Roman" w:cs="Times New Roman"/>
              </w:rPr>
            </w:pPr>
            <w:r w:rsidRPr="008138BB">
              <w:rPr>
                <w:rFonts w:ascii="Times New Roman" w:hAnsi="Times New Roman" w:cs="Times New Roman"/>
              </w:rPr>
              <w:t>-0.6</w:t>
            </w:r>
            <w:r w:rsidR="00D46314" w:rsidRPr="008138BB">
              <w:rPr>
                <w:rFonts w:ascii="Times New Roman" w:hAnsi="Times New Roman" w:cs="Times New Roman"/>
              </w:rPr>
              <w:t>1</w:t>
            </w:r>
            <w:r w:rsidRPr="008138BB">
              <w:rPr>
                <w:rFonts w:ascii="Times New Roman" w:hAnsi="Times New Roman" w:cs="Times New Roman"/>
              </w:rPr>
              <w:t xml:space="preserve"> (2</w:t>
            </w:r>
            <w:r w:rsidR="008138BB" w:rsidRPr="008138BB">
              <w:rPr>
                <w:rFonts w:ascii="Times New Roman" w:hAnsi="Times New Roman" w:cs="Times New Roman"/>
              </w:rPr>
              <w:t>7</w:t>
            </w:r>
            <w:r w:rsidRPr="008138BB">
              <w:rPr>
                <w:rFonts w:ascii="Times New Roman" w:hAnsi="Times New Roman" w:cs="Times New Roman"/>
              </w:rPr>
              <w:t>)</w:t>
            </w:r>
          </w:p>
        </w:tc>
        <w:tc>
          <w:tcPr>
            <w:tcW w:w="3117" w:type="dxa"/>
          </w:tcPr>
          <w:p w14:paraId="74A304EE" w14:textId="77777777" w:rsidR="00A67BF3" w:rsidRPr="0068175D" w:rsidRDefault="00A67BF3" w:rsidP="00386B99">
            <w:pPr>
              <w:rPr>
                <w:rFonts w:ascii="Times New Roman" w:hAnsi="Times New Roman" w:cs="Times New Roman"/>
              </w:rPr>
            </w:pPr>
          </w:p>
        </w:tc>
      </w:tr>
      <w:tr w:rsidR="00A67BF3" w:rsidRPr="008138BB" w14:paraId="670E8A8B" w14:textId="77777777" w:rsidTr="00E45606">
        <w:tc>
          <w:tcPr>
            <w:tcW w:w="265" w:type="dxa"/>
          </w:tcPr>
          <w:p w14:paraId="1F1C1045" w14:textId="77777777" w:rsidR="00A67BF3" w:rsidRPr="008138BB" w:rsidRDefault="00A67BF3" w:rsidP="00393591">
            <w:pPr>
              <w:rPr>
                <w:rFonts w:ascii="Times New Roman" w:hAnsi="Times New Roman" w:cs="Times New Roman"/>
              </w:rPr>
            </w:pPr>
          </w:p>
        </w:tc>
        <w:tc>
          <w:tcPr>
            <w:tcW w:w="3690" w:type="dxa"/>
          </w:tcPr>
          <w:p w14:paraId="12A8DB5F" w14:textId="5349E88E" w:rsidR="00A67BF3" w:rsidRPr="008138BB" w:rsidRDefault="00E90ACF" w:rsidP="00393591">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oMath>
            <w:r w:rsidR="00A67BF3" w:rsidRPr="008138BB" w:rsidDel="00E435BE">
              <w:rPr>
                <w:rFonts w:ascii="Times New Roman" w:hAnsi="Times New Roman" w:cs="Times New Roman"/>
              </w:rPr>
              <w:t xml:space="preserve"> </w:t>
            </w:r>
            <w:r w:rsidR="00A67BF3" w:rsidRPr="008138BB">
              <w:rPr>
                <w:rFonts w:ascii="Times New Roman" w:hAnsi="Times New Roman" w:cs="Times New Roman"/>
              </w:rPr>
              <w:t>and 1/</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out</m:t>
                  </m:r>
                </m:sub>
              </m:sSub>
            </m:oMath>
          </w:p>
        </w:tc>
        <w:tc>
          <w:tcPr>
            <w:tcW w:w="2278" w:type="dxa"/>
          </w:tcPr>
          <w:p w14:paraId="72F476BE" w14:textId="67E9FB29" w:rsidR="00A67BF3" w:rsidRPr="008138BB" w:rsidRDefault="00A67BF3" w:rsidP="00393591">
            <w:pPr>
              <w:rPr>
                <w:rFonts w:ascii="Times New Roman" w:hAnsi="Times New Roman" w:cs="Times New Roman"/>
              </w:rPr>
            </w:pPr>
            <w:r w:rsidRPr="008138BB">
              <w:rPr>
                <w:rFonts w:ascii="Times New Roman" w:hAnsi="Times New Roman" w:cs="Times New Roman"/>
              </w:rPr>
              <w:t>-0.4</w:t>
            </w:r>
            <w:r w:rsidR="00D46314" w:rsidRPr="008138BB">
              <w:rPr>
                <w:rFonts w:ascii="Times New Roman" w:hAnsi="Times New Roman" w:cs="Times New Roman"/>
              </w:rPr>
              <w:t>2</w:t>
            </w:r>
            <w:r w:rsidRPr="008138BB">
              <w:rPr>
                <w:rFonts w:ascii="Times New Roman" w:hAnsi="Times New Roman" w:cs="Times New Roman"/>
              </w:rPr>
              <w:t xml:space="preserve"> (</w:t>
            </w:r>
            <w:r w:rsidR="008138BB" w:rsidRPr="008138BB">
              <w:rPr>
                <w:rFonts w:ascii="Times New Roman" w:hAnsi="Times New Roman" w:cs="Times New Roman"/>
              </w:rPr>
              <w:t>27</w:t>
            </w:r>
            <w:r w:rsidRPr="008138BB">
              <w:rPr>
                <w:rFonts w:ascii="Times New Roman" w:hAnsi="Times New Roman" w:cs="Times New Roman"/>
              </w:rPr>
              <w:t>)</w:t>
            </w:r>
          </w:p>
        </w:tc>
        <w:tc>
          <w:tcPr>
            <w:tcW w:w="3117" w:type="dxa"/>
          </w:tcPr>
          <w:p w14:paraId="277C4FCF" w14:textId="77777777" w:rsidR="00A67BF3" w:rsidRPr="0068175D" w:rsidRDefault="00A67BF3" w:rsidP="00386B99">
            <w:pPr>
              <w:rPr>
                <w:rFonts w:ascii="Times New Roman" w:hAnsi="Times New Roman" w:cs="Times New Roman"/>
              </w:rPr>
            </w:pPr>
          </w:p>
        </w:tc>
      </w:tr>
      <w:tr w:rsidR="00A67BF3" w:rsidRPr="00014EF4" w14:paraId="7DF25D9D" w14:textId="77777777" w:rsidTr="00E45606">
        <w:trPr>
          <w:trHeight w:val="404"/>
        </w:trPr>
        <w:tc>
          <w:tcPr>
            <w:tcW w:w="265" w:type="dxa"/>
          </w:tcPr>
          <w:p w14:paraId="33E5E83D" w14:textId="77777777" w:rsidR="00A67BF3" w:rsidRPr="008138BB" w:rsidRDefault="00A67BF3" w:rsidP="00393591">
            <w:pPr>
              <w:rPr>
                <w:rFonts w:ascii="Times New Roman" w:hAnsi="Times New Roman" w:cs="Times New Roman"/>
              </w:rPr>
            </w:pPr>
          </w:p>
        </w:tc>
        <w:tc>
          <w:tcPr>
            <w:tcW w:w="3690" w:type="dxa"/>
          </w:tcPr>
          <w:p w14:paraId="160B3BA9" w14:textId="1655372D" w:rsidR="00A67BF3" w:rsidRPr="008138BB" w:rsidRDefault="00A67BF3" w:rsidP="00393591">
            <w:pPr>
              <w:rPr>
                <w:rFonts w:ascii="Times New Roman" w:hAnsi="Times New Roman" w:cs="Times New Roman"/>
              </w:rPr>
            </w:pPr>
            <w:r w:rsidRPr="008138BB">
              <w:rPr>
                <w:rFonts w:ascii="Times New Roman" w:hAnsi="Times New Roman" w:cs="Times New Roman"/>
              </w:rPr>
              <w:t>1/</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out</m:t>
                  </m:r>
                </m:sub>
              </m:sSub>
            </m:oMath>
            <w:r w:rsidRPr="008138BB">
              <w:rPr>
                <w:rFonts w:ascii="Times New Roman" w:hAnsi="Times New Roman" w:cs="Times New Roman"/>
              </w:rPr>
              <w:t xml:space="preserve"> and </w:t>
            </w: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Hb</m:t>
                  </m:r>
                </m:sub>
              </m:sSub>
            </m:oMath>
          </w:p>
        </w:tc>
        <w:tc>
          <w:tcPr>
            <w:tcW w:w="2278" w:type="dxa"/>
          </w:tcPr>
          <w:p w14:paraId="47FC9185" w14:textId="53655FB5" w:rsidR="00A67BF3" w:rsidRPr="00014EF4" w:rsidRDefault="00A67BF3" w:rsidP="00393591">
            <w:pPr>
              <w:rPr>
                <w:rFonts w:ascii="Times New Roman" w:hAnsi="Times New Roman" w:cs="Times New Roman"/>
              </w:rPr>
            </w:pPr>
            <w:r w:rsidRPr="008138BB">
              <w:rPr>
                <w:rFonts w:ascii="Times New Roman" w:hAnsi="Times New Roman" w:cs="Times New Roman"/>
              </w:rPr>
              <w:t>-0.</w:t>
            </w:r>
            <w:r w:rsidR="00D46314" w:rsidRPr="008138BB">
              <w:rPr>
                <w:rFonts w:ascii="Times New Roman" w:hAnsi="Times New Roman" w:cs="Times New Roman"/>
              </w:rPr>
              <w:t>69</w:t>
            </w:r>
            <w:r w:rsidRPr="008138BB">
              <w:rPr>
                <w:rFonts w:ascii="Times New Roman" w:hAnsi="Times New Roman" w:cs="Times New Roman"/>
              </w:rPr>
              <w:t xml:space="preserve"> (2</w:t>
            </w:r>
            <w:r w:rsidR="008138BB" w:rsidRPr="008138BB">
              <w:rPr>
                <w:rFonts w:ascii="Times New Roman" w:hAnsi="Times New Roman" w:cs="Times New Roman"/>
              </w:rPr>
              <w:t>8</w:t>
            </w:r>
            <w:r w:rsidRPr="008138BB">
              <w:rPr>
                <w:rFonts w:ascii="Times New Roman" w:hAnsi="Times New Roman" w:cs="Times New Roman"/>
              </w:rPr>
              <w:t>)</w:t>
            </w:r>
          </w:p>
        </w:tc>
        <w:tc>
          <w:tcPr>
            <w:tcW w:w="3117" w:type="dxa"/>
          </w:tcPr>
          <w:p w14:paraId="3F676DF6" w14:textId="77777777" w:rsidR="00A67BF3" w:rsidRPr="00014EF4" w:rsidRDefault="00A67BF3" w:rsidP="00386B99">
            <w:pPr>
              <w:rPr>
                <w:rFonts w:ascii="Times New Roman" w:hAnsi="Times New Roman" w:cs="Times New Roman"/>
              </w:rPr>
            </w:pPr>
          </w:p>
        </w:tc>
      </w:tr>
      <w:bookmarkEnd w:id="2"/>
    </w:tbl>
    <w:p w14:paraId="55FE5BC7" w14:textId="77777777" w:rsidR="00A67BF3" w:rsidRPr="00014EF4" w:rsidRDefault="00A67BF3" w:rsidP="00393591">
      <w:pPr>
        <w:rPr>
          <w:rFonts w:ascii="Times New Roman" w:hAnsi="Times New Roman" w:cs="Times New Roman"/>
        </w:rPr>
      </w:pPr>
    </w:p>
    <w:p w14:paraId="1A13B1FE"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br w:type="page"/>
      </w:r>
    </w:p>
    <w:p w14:paraId="00A028CE" w14:textId="319411C4" w:rsidR="00A67BF3" w:rsidRPr="00014EF4" w:rsidRDefault="00990105" w:rsidP="00386B99">
      <w:pPr>
        <w:pStyle w:val="captions"/>
        <w:rPr>
          <w:rFonts w:cs="Times New Roman"/>
          <w:i w:val="0"/>
          <w:sz w:val="24"/>
          <w:szCs w:val="24"/>
        </w:rPr>
      </w:pPr>
      <w:r w:rsidRPr="006941F2">
        <w:rPr>
          <w:rStyle w:val="Heading2Char"/>
          <w:rFonts w:ascii="Times New Roman" w:hAnsi="Times New Roman" w:cs="Times New Roman"/>
          <w:i w:val="0"/>
          <w:color w:val="auto"/>
          <w:sz w:val="24"/>
          <w:szCs w:val="24"/>
        </w:rPr>
        <w:lastRenderedPageBreak/>
        <w:t>Supplemental Table 6</w:t>
      </w:r>
      <w:r>
        <w:rPr>
          <w:rFonts w:eastAsiaTheme="minorHAnsi" w:cs="Times New Roman"/>
          <w:i w:val="0"/>
          <w:iCs w:val="0"/>
          <w:color w:val="auto"/>
          <w:sz w:val="24"/>
          <w:szCs w:val="24"/>
        </w:rPr>
        <w:t xml:space="preserve"> </w:t>
      </w:r>
      <w:r w:rsidR="00A67BF3" w:rsidRPr="00014EF4">
        <w:rPr>
          <w:rFonts w:eastAsiaTheme="minorHAnsi" w:cs="Times New Roman"/>
          <w:b w:val="0"/>
          <w:i w:val="0"/>
          <w:iCs w:val="0"/>
          <w:color w:val="auto"/>
          <w:sz w:val="24"/>
          <w:szCs w:val="24"/>
        </w:rPr>
        <w:t>Differential equations that describe the final platelet count model</w:t>
      </w:r>
    </w:p>
    <w:tbl>
      <w:tblPr>
        <w:tblStyle w:val="TableGrid"/>
        <w:tblW w:w="9535" w:type="dxa"/>
        <w:tblLook w:val="04A0" w:firstRow="1" w:lastRow="0" w:firstColumn="1" w:lastColumn="0" w:noHBand="0" w:noVBand="1"/>
      </w:tblPr>
      <w:tblGrid>
        <w:gridCol w:w="1795"/>
        <w:gridCol w:w="7740"/>
      </w:tblGrid>
      <w:tr w:rsidR="00A67BF3" w:rsidRPr="00014EF4" w14:paraId="0C1643C5" w14:textId="77777777" w:rsidTr="00E45606">
        <w:tc>
          <w:tcPr>
            <w:tcW w:w="1795" w:type="dxa"/>
          </w:tcPr>
          <w:p w14:paraId="1B4A1DE9" w14:textId="77777777" w:rsidR="00A67BF3" w:rsidRPr="00014EF4" w:rsidRDefault="00A67BF3" w:rsidP="00386B99">
            <w:pPr>
              <w:rPr>
                <w:rFonts w:ascii="Times New Roman" w:hAnsi="Times New Roman" w:cs="Times New Roman"/>
              </w:rPr>
            </w:pPr>
            <w:r w:rsidRPr="00014EF4">
              <w:rPr>
                <w:rFonts w:ascii="Times New Roman" w:eastAsia="Times New Roman" w:hAnsi="Times New Roman" w:cs="Times New Roman"/>
              </w:rPr>
              <w:t>Progenitor cell compartment</w:t>
            </w:r>
            <w:r w:rsidRPr="00014EF4">
              <w:rPr>
                <w:rFonts w:ascii="Times New Roman" w:hAnsi="Times New Roman" w:cs="Times New Roman"/>
              </w:rPr>
              <w:t xml:space="preserve"> (</w:t>
            </w:r>
            <m:oMath>
              <m:r>
                <w:rPr>
                  <w:rFonts w:ascii="Cambria Math" w:eastAsia="Times New Roman" w:hAnsi="Cambria Math" w:cs="Times New Roman"/>
                </w:rPr>
                <m:t>Prol</m:t>
              </m:r>
            </m:oMath>
            <w:r w:rsidRPr="00014EF4">
              <w:rPr>
                <w:rFonts w:ascii="Times New Roman" w:hAnsi="Times New Roman" w:cs="Times New Roman"/>
              </w:rPr>
              <w:t>)</w:t>
            </w:r>
          </w:p>
        </w:tc>
        <w:tc>
          <w:tcPr>
            <w:tcW w:w="7740" w:type="dxa"/>
          </w:tcPr>
          <w:p w14:paraId="056A3A88" w14:textId="3632B2F0" w:rsidR="00A67BF3" w:rsidRPr="00014EF4" w:rsidRDefault="00A67BF3" w:rsidP="00386B99">
            <w:pPr>
              <w:tabs>
                <w:tab w:val="left" w:pos="5670"/>
              </w:tabs>
              <w:jc w:val="both"/>
              <w:rPr>
                <w:rFonts w:ascii="Times New Roman" w:eastAsia="Times New Roman" w:hAnsi="Times New Roman" w:cs="Times New Roman"/>
              </w:rPr>
            </w:pPr>
            <w:r w:rsidRPr="00014EF4">
              <w:rPr>
                <w:rFonts w:ascii="Times New Roman" w:eastAsia="Times New Roman" w:hAnsi="Times New Roman" w:cs="Times New Roman"/>
              </w:rPr>
              <w:t xml:space="preserve">  </w:t>
            </w:r>
            <m:oMath>
              <m:r>
                <m:rPr>
                  <m:sty m:val="p"/>
                </m:rPr>
                <w:rPr>
                  <w:rFonts w:ascii="Cambria Math" w:eastAsia="Times New Roman" w:hAnsi="Cambria Math" w:cs="Times New Roman"/>
                </w:rPr>
                <w:br/>
              </m:r>
            </m:oMath>
            <m:oMathPara>
              <m:oMath>
                <m:f>
                  <m:fPr>
                    <m:ctrlPr>
                      <w:rPr>
                        <w:rFonts w:ascii="Cambria Math" w:eastAsia="Times New Roman" w:hAnsi="Cambria Math" w:cs="Times New Roman"/>
                        <w:i/>
                      </w:rPr>
                    </m:ctrlPr>
                  </m:fPr>
                  <m:num>
                    <m:r>
                      <w:rPr>
                        <w:rFonts w:ascii="Cambria Math" w:eastAsia="Times New Roman" w:hAnsi="Cambria Math" w:cs="Times New Roman"/>
                      </w:rPr>
                      <m:t>dProl</m:t>
                    </m:r>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prol</m:t>
                    </m:r>
                  </m:sub>
                </m:sSub>
                <m:r>
                  <w:rPr>
                    <w:rFonts w:ascii="Cambria Math" w:eastAsia="Times New Roman" w:hAnsi="Cambria Math" w:cs="Times New Roman"/>
                  </w:rPr>
                  <m:t>Prol</m:t>
                </m:r>
                <m:d>
                  <m:dPr>
                    <m:ctrlPr>
                      <w:rPr>
                        <w:rFonts w:ascii="Cambria Math" w:eastAsia="Times New Roman" w:hAnsi="Cambria Math" w:cs="Times New Roman"/>
                        <w:i/>
                      </w:rPr>
                    </m:ctrlPr>
                  </m:dPr>
                  <m:e>
                    <m:r>
                      <w:rPr>
                        <w:rFonts w:ascii="Cambria Math" w:eastAsia="Times New Roman" w:hAnsi="Cambria Math" w:cs="Times New Roman"/>
                      </w:rPr>
                      <m:t>1-</m:t>
                    </m:r>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Platelet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e>
                </m:d>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f>
                          <m:fPr>
                            <m:type m:val="lin"/>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Circ</m:t>
                                </m:r>
                              </m:e>
                              <m:sub>
                                <m:r>
                                  <w:rPr>
                                    <w:rFonts w:ascii="Cambria Math" w:eastAsia="Times New Roman" w:hAnsi="Cambria Math" w:cs="Times New Roman"/>
                                  </w:rPr>
                                  <m:t>0</m:t>
                                </m:r>
                              </m:sub>
                            </m:sSub>
                          </m:num>
                          <m:den>
                            <m:r>
                              <w:rPr>
                                <w:rFonts w:ascii="Cambria Math" w:eastAsia="Times New Roman" w:hAnsi="Cambria Math" w:cs="Times New Roman"/>
                              </w:rPr>
                              <m:t>Circ</m:t>
                            </m:r>
                          </m:den>
                        </m:f>
                      </m:e>
                    </m:d>
                  </m:e>
                  <m:sup>
                    <m:r>
                      <w:rPr>
                        <w:rFonts w:ascii="Cambria Math" w:eastAsia="Times New Roman" w:hAnsi="Cambria Math" w:cs="Times New Roman"/>
                      </w:rPr>
                      <m:t>γ</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r>
                  <w:rPr>
                    <w:rFonts w:ascii="Cambria Math" w:eastAsia="Times New Roman" w:hAnsi="Cambria Math" w:cs="Times New Roman"/>
                  </w:rPr>
                  <m:t>Prol</m:t>
                </m:r>
              </m:oMath>
            </m:oMathPara>
          </w:p>
          <w:p w14:paraId="57542BF0" w14:textId="77777777" w:rsidR="00A67BF3" w:rsidRPr="00014EF4" w:rsidRDefault="00A67BF3" w:rsidP="00386B99">
            <w:pPr>
              <w:tabs>
                <w:tab w:val="left" w:pos="5670"/>
              </w:tabs>
              <w:jc w:val="both"/>
              <w:rPr>
                <w:rFonts w:ascii="Times New Roman" w:eastAsia="Times New Roman" w:hAnsi="Times New Roman" w:cs="Times New Roman"/>
              </w:rPr>
            </w:pPr>
          </w:p>
          <w:p w14:paraId="5326850B" w14:textId="62698A4D" w:rsidR="00A67BF3" w:rsidRPr="00014EF4" w:rsidRDefault="00E90ACF" w:rsidP="00386B99">
            <w:pPr>
              <w:tabs>
                <w:tab w:val="left" w:pos="5670"/>
              </w:tabs>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Platelet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r>
                  <w:rPr>
                    <w:rFonts w:ascii="Cambria Math" w:eastAsia="Times New Roman" w:hAnsi="Cambria Math" w:cs="Times New Roman"/>
                    <w:color w:val="000000"/>
                  </w:rPr>
                  <m:t>=</m:t>
                </m:r>
                <m:f>
                  <m:fPr>
                    <m:ctrlPr>
                      <w:rPr>
                        <w:rFonts w:ascii="Cambria Math" w:eastAsia="Times New Roman" w:hAnsi="Cambria Math" w:cs="Times New Roman"/>
                        <w:i/>
                        <w:color w:val="000000"/>
                      </w:rPr>
                    </m:ctrlPr>
                  </m:fPr>
                  <m:num>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Platelet</m:t>
                        </m:r>
                      </m:sub>
                    </m:sSub>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Platelet</m:t>
                            </m:r>
                          </m:sub>
                        </m:sSub>
                      </m:sup>
                    </m:sSup>
                  </m:num>
                  <m:den>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Platelet</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Platelet</m:t>
                            </m:r>
                          </m:sub>
                        </m:sSub>
                      </m:sup>
                    </m:sSup>
                    <m:r>
                      <w:rPr>
                        <w:rFonts w:ascii="Cambria Math" w:eastAsia="Times New Roman" w:hAnsi="Cambria Math" w:cs="Times New Roman"/>
                        <w:color w:val="000000"/>
                      </w:rPr>
                      <m:t>+</m:t>
                    </m:r>
                    <m:sSup>
                      <m:sSupPr>
                        <m:ctrlPr>
                          <w:rPr>
                            <w:rFonts w:ascii="Cambria Math" w:eastAsia="Times New Roman" w:hAnsi="Cambria Math" w:cs="Times New Roman"/>
                            <w:i/>
                            <w:color w:val="000000"/>
                          </w:rPr>
                        </m:ctrlPr>
                      </m:sSup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e>
                      <m:sup>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Platelet</m:t>
                            </m:r>
                          </m:sub>
                        </m:sSub>
                      </m:sup>
                    </m:sSup>
                  </m:den>
                </m:f>
              </m:oMath>
            </m:oMathPara>
          </w:p>
          <w:p w14:paraId="07CAD9E8" w14:textId="77777777" w:rsidR="00A67BF3" w:rsidRPr="00014EF4" w:rsidRDefault="00A67BF3" w:rsidP="00386B99">
            <w:pPr>
              <w:rPr>
                <w:rFonts w:ascii="Times New Roman" w:hAnsi="Times New Roman" w:cs="Times New Roman"/>
              </w:rPr>
            </w:pPr>
          </w:p>
        </w:tc>
      </w:tr>
      <w:tr w:rsidR="00A67BF3" w:rsidRPr="00014EF4" w14:paraId="054612CE" w14:textId="77777777" w:rsidTr="00E45606">
        <w:tc>
          <w:tcPr>
            <w:tcW w:w="1795" w:type="dxa"/>
          </w:tcPr>
          <w:p w14:paraId="4D328FAB"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Transit compartment 1</w:t>
            </w:r>
          </w:p>
        </w:tc>
        <w:tc>
          <w:tcPr>
            <w:tcW w:w="7740" w:type="dxa"/>
          </w:tcPr>
          <w:p w14:paraId="27BE6851" w14:textId="77777777" w:rsidR="00A67BF3" w:rsidRPr="00014EF4" w:rsidRDefault="00E90ACF" w:rsidP="00393591">
            <w:pPr>
              <w:tabs>
                <w:tab w:val="left" w:pos="5670"/>
              </w:tabs>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1</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r>
                  <w:rPr>
                    <w:rFonts w:ascii="Cambria Math" w:eastAsia="Times New Roman" w:hAnsi="Cambria Math" w:cs="Times New Roman"/>
                  </w:rPr>
                  <m:t xml:space="preserve">Prol- </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1</m:t>
                    </m:r>
                  </m:sub>
                </m:sSub>
              </m:oMath>
            </m:oMathPara>
          </w:p>
          <w:p w14:paraId="4EB4B30F" w14:textId="77777777" w:rsidR="00A67BF3" w:rsidRPr="00014EF4" w:rsidRDefault="00A67BF3" w:rsidP="00386B99">
            <w:pPr>
              <w:tabs>
                <w:tab w:val="left" w:pos="5670"/>
              </w:tabs>
              <w:jc w:val="both"/>
              <w:rPr>
                <w:rFonts w:ascii="Times New Roman" w:eastAsia="Times New Roman" w:hAnsi="Times New Roman" w:cs="Times New Roman"/>
              </w:rPr>
            </w:pPr>
          </w:p>
        </w:tc>
      </w:tr>
      <w:tr w:rsidR="00A67BF3" w:rsidRPr="00014EF4" w14:paraId="1ABDE291" w14:textId="77777777" w:rsidTr="00E45606">
        <w:tc>
          <w:tcPr>
            <w:tcW w:w="1795" w:type="dxa"/>
          </w:tcPr>
          <w:p w14:paraId="6C4C1FD5"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Transit compartment 2</w:t>
            </w:r>
          </w:p>
        </w:tc>
        <w:tc>
          <w:tcPr>
            <w:tcW w:w="7740" w:type="dxa"/>
          </w:tcPr>
          <w:p w14:paraId="3F6E14A8" w14:textId="77777777" w:rsidR="00A67BF3" w:rsidRPr="00014EF4" w:rsidRDefault="00E90ACF" w:rsidP="00393591">
            <w:pPr>
              <w:tabs>
                <w:tab w:val="left" w:pos="5670"/>
              </w:tabs>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2</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1</m:t>
                    </m:r>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2</m:t>
                    </m:r>
                  </m:sub>
                </m:sSub>
              </m:oMath>
            </m:oMathPara>
          </w:p>
          <w:p w14:paraId="7D1B489E" w14:textId="77777777" w:rsidR="00A67BF3" w:rsidRPr="00014EF4" w:rsidRDefault="00A67BF3" w:rsidP="00386B99">
            <w:pPr>
              <w:tabs>
                <w:tab w:val="left" w:pos="5670"/>
              </w:tabs>
              <w:jc w:val="both"/>
              <w:rPr>
                <w:rFonts w:ascii="Times New Roman" w:eastAsia="Times New Roman" w:hAnsi="Times New Roman" w:cs="Times New Roman"/>
              </w:rPr>
            </w:pPr>
          </w:p>
        </w:tc>
      </w:tr>
      <w:tr w:rsidR="00A67BF3" w:rsidRPr="00014EF4" w14:paraId="41323DBA" w14:textId="77777777" w:rsidTr="00E45606">
        <w:tc>
          <w:tcPr>
            <w:tcW w:w="1795" w:type="dxa"/>
          </w:tcPr>
          <w:p w14:paraId="01A9903F"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Transit compartment 3</w:t>
            </w:r>
          </w:p>
        </w:tc>
        <w:tc>
          <w:tcPr>
            <w:tcW w:w="7740" w:type="dxa"/>
          </w:tcPr>
          <w:p w14:paraId="610F83DF" w14:textId="77777777" w:rsidR="00A67BF3" w:rsidRPr="00014EF4" w:rsidRDefault="00E90ACF" w:rsidP="00393591">
            <w:pPr>
              <w:tabs>
                <w:tab w:val="left" w:pos="5670"/>
              </w:tabs>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3</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2</m:t>
                    </m:r>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3</m:t>
                    </m:r>
                  </m:sub>
                </m:sSub>
              </m:oMath>
            </m:oMathPara>
          </w:p>
          <w:p w14:paraId="2B42EAB0" w14:textId="77777777" w:rsidR="00A67BF3" w:rsidRPr="00014EF4" w:rsidRDefault="00A67BF3" w:rsidP="00386B99">
            <w:pPr>
              <w:tabs>
                <w:tab w:val="left" w:pos="5670"/>
              </w:tabs>
              <w:jc w:val="both"/>
              <w:rPr>
                <w:rFonts w:ascii="Times New Roman" w:eastAsia="Times New Roman" w:hAnsi="Times New Roman" w:cs="Times New Roman"/>
              </w:rPr>
            </w:pPr>
          </w:p>
        </w:tc>
      </w:tr>
      <w:tr w:rsidR="00A67BF3" w:rsidRPr="00014EF4" w14:paraId="7CCB12B1" w14:textId="77777777" w:rsidTr="00E45606">
        <w:tc>
          <w:tcPr>
            <w:tcW w:w="1795" w:type="dxa"/>
          </w:tcPr>
          <w:p w14:paraId="3F76CF9A"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Circulating cells (Platelet count) (</w:t>
            </w:r>
            <m:oMath>
              <m:r>
                <w:rPr>
                  <w:rFonts w:ascii="Cambria Math" w:eastAsia="Times New Roman" w:hAnsi="Cambria Math" w:cs="Times New Roman"/>
                </w:rPr>
                <m:t>Circ</m:t>
              </m:r>
            </m:oMath>
            <w:r w:rsidRPr="00014EF4">
              <w:rPr>
                <w:rFonts w:ascii="Times New Roman" w:hAnsi="Times New Roman" w:cs="Times New Roman"/>
              </w:rPr>
              <w:t>)</w:t>
            </w:r>
          </w:p>
        </w:tc>
        <w:tc>
          <w:tcPr>
            <w:tcW w:w="7740" w:type="dxa"/>
          </w:tcPr>
          <w:p w14:paraId="4C072847" w14:textId="77777777" w:rsidR="00A67BF3" w:rsidRPr="00014EF4" w:rsidRDefault="00E90ACF" w:rsidP="00393591">
            <w:pPr>
              <w:tabs>
                <w:tab w:val="left" w:pos="5670"/>
              </w:tabs>
              <w:jc w:val="both"/>
              <w:rPr>
                <w:rFonts w:ascii="Times New Roman" w:eastAsia="Times New Roman" w:hAnsi="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dCirc</m:t>
                    </m:r>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3</m:t>
                    </m:r>
                  </m:sub>
                </m:sSub>
                <m:r>
                  <w:rPr>
                    <w:rFonts w:ascii="Cambria Math" w:eastAsia="Times New Roman"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circ</m:t>
                    </m:r>
                  </m:sub>
                </m:sSub>
                <m:r>
                  <w:rPr>
                    <w:rFonts w:ascii="Cambria Math" w:eastAsia="Times New Roman" w:hAnsi="Cambria Math" w:cs="Times New Roman"/>
                  </w:rPr>
                  <m:t>Circ</m:t>
                </m:r>
              </m:oMath>
            </m:oMathPara>
          </w:p>
          <w:p w14:paraId="49A103C2" w14:textId="77777777" w:rsidR="00A67BF3" w:rsidRPr="00014EF4" w:rsidRDefault="00A67BF3" w:rsidP="00386B99">
            <w:pPr>
              <w:tabs>
                <w:tab w:val="left" w:pos="5670"/>
              </w:tabs>
              <w:jc w:val="both"/>
              <w:rPr>
                <w:rFonts w:ascii="Times New Roman" w:eastAsia="Times New Roman" w:hAnsi="Times New Roman" w:cs="Times New Roman"/>
              </w:rPr>
            </w:pPr>
          </w:p>
          <w:p w14:paraId="411A0CC2" w14:textId="77777777" w:rsidR="00A67BF3" w:rsidRPr="00014EF4" w:rsidRDefault="00A67BF3" w:rsidP="00386B99">
            <w:pPr>
              <w:tabs>
                <w:tab w:val="left" w:pos="5670"/>
              </w:tabs>
              <w:jc w:val="both"/>
              <w:rPr>
                <w:rFonts w:ascii="Times New Roman" w:eastAsia="Times New Roman" w:hAnsi="Times New Roman" w:cs="Times New Roman"/>
              </w:rPr>
            </w:pPr>
            <m:oMathPara>
              <m:oMath>
                <m:r>
                  <w:rPr>
                    <w:rFonts w:ascii="Cambria Math" w:eastAsia="Times New Roman" w:hAnsi="Cambria Math" w:cs="Times New Roman"/>
                  </w:rPr>
                  <m:t>MTT=4/</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m:oMathPara>
          </w:p>
          <w:p w14:paraId="1F683BCE" w14:textId="77777777" w:rsidR="00A67BF3" w:rsidRPr="00014EF4" w:rsidRDefault="00A67BF3" w:rsidP="00386B99">
            <w:pPr>
              <w:tabs>
                <w:tab w:val="left" w:pos="5670"/>
              </w:tabs>
              <w:jc w:val="both"/>
              <w:rPr>
                <w:rFonts w:ascii="Times New Roman" w:eastAsia="Times New Roman" w:hAnsi="Times New Roman" w:cs="Times New Roman"/>
              </w:rPr>
            </w:pPr>
          </w:p>
        </w:tc>
      </w:tr>
    </w:tbl>
    <w:p w14:paraId="15990DBC" w14:textId="77777777" w:rsidR="00A67BF3" w:rsidRPr="00014EF4" w:rsidRDefault="00A67BF3" w:rsidP="00393591">
      <w:pPr>
        <w:rPr>
          <w:rFonts w:ascii="Times New Roman" w:hAnsi="Times New Roman" w:cs="Times New Roman"/>
        </w:rPr>
      </w:pPr>
    </w:p>
    <w:p w14:paraId="2BB09B79" w14:textId="4E2AB854" w:rsidR="00A67BF3" w:rsidRPr="00014EF4" w:rsidRDefault="00A67BF3" w:rsidP="00393591">
      <w:pPr>
        <w:rPr>
          <w:rFonts w:ascii="Times New Roman" w:hAnsi="Times New Roman" w:cs="Times New Roman"/>
        </w:rPr>
      </w:pPr>
      <m:oMath>
        <m:r>
          <w:rPr>
            <w:rFonts w:ascii="Cambria Math" w:eastAsia="Times New Roman" w:hAnsi="Cambria Math" w:cs="Times New Roman"/>
          </w:rPr>
          <m:t>Circ</m:t>
        </m:r>
      </m:oMath>
      <w:r w:rsidRPr="00014EF4">
        <w:rPr>
          <w:rFonts w:ascii="Times New Roman" w:hAnsi="Times New Roman" w:cs="Times New Roman"/>
        </w:rPr>
        <w:t>, platelet count in circulation compartment</w:t>
      </w:r>
      <w:r w:rsidR="001345F6" w:rsidRPr="00014EF4">
        <w:rPr>
          <w:rFonts w:ascii="Times New Roman" w:hAnsi="Times New Roman" w:cs="Times New Roman"/>
        </w:rPr>
        <w:t xml:space="preserve"> (dependent variable)</w:t>
      </w:r>
      <w:r w:rsidRPr="00014EF4">
        <w:rPr>
          <w:rFonts w:ascii="Times New Roman" w:hAnsi="Times New Roman" w:cs="Times New Roman"/>
        </w:rPr>
        <w:t xml:space="preserve">; </w:t>
      </w:r>
    </w:p>
    <w:p w14:paraId="314930F2" w14:textId="77777777" w:rsidR="00A67BF3" w:rsidRPr="00014EF4" w:rsidRDefault="00A67BF3" w:rsidP="00386B99">
      <w:pPr>
        <w:rPr>
          <w:rFonts w:ascii="Times New Roman" w:hAnsi="Times New Roman" w:cs="Times New Roman"/>
        </w:rPr>
      </w:pPr>
      <m:oMath>
        <m:r>
          <w:rPr>
            <w:rFonts w:ascii="Cambria Math" w:eastAsia="Times New Roman" w:hAnsi="Cambria Math" w:cs="Times New Roman"/>
          </w:rPr>
          <m:t>Prol</m:t>
        </m:r>
      </m:oMath>
      <w:r w:rsidRPr="00014EF4">
        <w:rPr>
          <w:rFonts w:ascii="Times New Roman" w:hAnsi="Times New Roman" w:cs="Times New Roman"/>
        </w:rPr>
        <w:t xml:space="preserve">, proliferative/progenitor platelet compartment; </w:t>
      </w:r>
    </w:p>
    <w:p w14:paraId="5FE79266" w14:textId="1F0B5EC0"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1</m:t>
            </m:r>
          </m:sub>
        </m:sSub>
      </m:oMath>
      <w:r w:rsidR="00A67BF3" w:rsidRPr="00014EF4">
        <w:rPr>
          <w:rFonts w:ascii="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2</m:t>
            </m:r>
          </m:sub>
        </m:sSub>
      </m:oMath>
      <w:r w:rsidR="00A67BF3" w:rsidRPr="00014EF4">
        <w:rPr>
          <w:rFonts w:ascii="Times New Roman" w:hAnsi="Times New Roman" w:cs="Times New Roman"/>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3</m:t>
            </m:r>
          </m:sub>
        </m:sSub>
      </m:oMath>
      <w:r w:rsidR="00A67BF3" w:rsidRPr="00014EF4">
        <w:rPr>
          <w:rFonts w:ascii="Times New Roman" w:hAnsi="Times New Roman" w:cs="Times New Roman"/>
        </w:rPr>
        <w:t>, transit compartments representing levels of platelet maturation</w:t>
      </w:r>
      <w:r w:rsidR="001345F6" w:rsidRPr="00014EF4">
        <w:rPr>
          <w:rFonts w:ascii="Times New Roman" w:hAnsi="Times New Roman" w:cs="Times New Roman"/>
        </w:rPr>
        <w:t xml:space="preserve">; </w:t>
      </w:r>
    </w:p>
    <w:p w14:paraId="123EBD46" w14:textId="37BCEC52" w:rsidR="001345F6" w:rsidRPr="00014EF4" w:rsidRDefault="001345F6" w:rsidP="00386B99">
      <w:pPr>
        <w:rPr>
          <w:rFonts w:ascii="Times New Roman" w:eastAsiaTheme="minorEastAsia" w:hAnsi="Times New Roman" w:cs="Times New Roman"/>
          <w:color w:val="000000"/>
        </w:rPr>
      </w:pPr>
      <m:oMath>
        <m:r>
          <w:rPr>
            <w:rFonts w:ascii="Cambria Math" w:hAnsi="Cambria Math" w:cs="Times New Roman"/>
          </w:rPr>
          <m:t>t</m:t>
        </m:r>
      </m:oMath>
      <w:r w:rsidRPr="00014EF4">
        <w:rPr>
          <w:rFonts w:ascii="Times New Roman" w:eastAsiaTheme="minorEastAsia" w:hAnsi="Times New Roman" w:cs="Times New Roman"/>
        </w:rPr>
        <w:t xml:space="preserve">, time after treatment initiation. </w:t>
      </w:r>
    </w:p>
    <w:p w14:paraId="51E82EC4" w14:textId="77777777" w:rsidR="00A67BF3" w:rsidRPr="00014EF4" w:rsidRDefault="00A67BF3" w:rsidP="00386B99">
      <w:pPr>
        <w:rPr>
          <w:rFonts w:ascii="Times New Roman" w:hAnsi="Times New Roman" w:cs="Times New Roman"/>
        </w:rPr>
      </w:pPr>
    </w:p>
    <w:p w14:paraId="5356FBA1"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Circ</m:t>
            </m:r>
          </m:e>
          <m:sub>
            <m:r>
              <w:rPr>
                <w:rFonts w:ascii="Cambria Math" w:eastAsia="Times New Roman" w:hAnsi="Cambria Math" w:cs="Times New Roman"/>
              </w:rPr>
              <m:t>0</m:t>
            </m:r>
          </m:sub>
        </m:sSub>
      </m:oMath>
      <w:r w:rsidR="00A67BF3" w:rsidRPr="00014EF4">
        <w:rPr>
          <w:rFonts w:ascii="Times New Roman" w:hAnsi="Times New Roman" w:cs="Times New Roman"/>
        </w:rPr>
        <w:t xml:space="preserve">, pretreatment platelet count; </w:t>
      </w:r>
    </w:p>
    <w:p w14:paraId="4B0034F1" w14:textId="77777777" w:rsidR="00A67BF3" w:rsidRPr="00014EF4" w:rsidRDefault="00A67BF3" w:rsidP="00386B99">
      <w:pPr>
        <w:rPr>
          <w:rFonts w:ascii="Times New Roman" w:hAnsi="Times New Roman" w:cs="Times New Roman"/>
        </w:rPr>
      </w:pPr>
      <m:oMath>
        <m:r>
          <w:rPr>
            <w:rFonts w:ascii="Cambria Math" w:hAnsi="Cambria Math" w:cs="Times New Roman"/>
          </w:rPr>
          <m:t>γ</m:t>
        </m:r>
      </m:oMath>
      <w:r w:rsidRPr="00014EF4">
        <w:rPr>
          <w:rFonts w:ascii="Times New Roman" w:hAnsi="Times New Roman" w:cs="Times New Roman"/>
        </w:rPr>
        <w:t xml:space="preserve">, homeostatic feedback parameter; </w:t>
      </w:r>
    </w:p>
    <w:p w14:paraId="61FBD924"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prol</m:t>
            </m:r>
          </m:sub>
        </m:sSub>
      </m:oMath>
      <w:r w:rsidR="00A67BF3" w:rsidRPr="00014EF4">
        <w:rPr>
          <w:rFonts w:ascii="Times New Roman" w:hAnsi="Times New Roman" w:cs="Times New Roman"/>
        </w:rPr>
        <w:t xml:space="preserve">, first-order proliferation rate constant for progenitor cells, assumed equal to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00A67BF3" w:rsidRPr="00014EF4">
        <w:rPr>
          <w:rFonts w:ascii="Times New Roman" w:hAnsi="Times New Roman" w:cs="Times New Roman"/>
        </w:rPr>
        <w:t xml:space="preserve">; </w:t>
      </w:r>
    </w:p>
    <w:p w14:paraId="15C620E2"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00A67BF3" w:rsidRPr="00014EF4">
        <w:rPr>
          <w:rFonts w:ascii="Times New Roman" w:hAnsi="Times New Roman" w:cs="Times New Roman"/>
        </w:rPr>
        <w:t xml:space="preserve">, first-order transit rate constant; </w:t>
      </w:r>
    </w:p>
    <w:p w14:paraId="6CE839AB"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circ</m:t>
            </m:r>
          </m:sub>
        </m:sSub>
      </m:oMath>
      <w:r w:rsidR="00A67BF3" w:rsidRPr="00014EF4">
        <w:rPr>
          <w:rFonts w:ascii="Times New Roman" w:hAnsi="Times New Roman" w:cs="Times New Roman"/>
        </w:rPr>
        <w:t xml:space="preserve">, first-order rate of platelet elimination from circulation compartment, assumed equal to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00A67BF3" w:rsidRPr="00014EF4">
        <w:rPr>
          <w:rFonts w:ascii="Times New Roman" w:hAnsi="Times New Roman" w:cs="Times New Roman"/>
        </w:rPr>
        <w:t xml:space="preserve">; </w:t>
      </w:r>
    </w:p>
    <w:p w14:paraId="23F93E79" w14:textId="77777777" w:rsidR="00A67BF3" w:rsidRPr="00014EF4" w:rsidRDefault="00A67BF3" w:rsidP="00386B99">
      <w:pPr>
        <w:rPr>
          <w:rFonts w:ascii="Times New Roman" w:hAnsi="Times New Roman" w:cs="Times New Roman"/>
        </w:rPr>
      </w:pPr>
      <m:oMath>
        <m:r>
          <w:rPr>
            <w:rFonts w:ascii="Cambria Math" w:eastAsia="Times New Roman" w:hAnsi="Cambria Math" w:cs="Times New Roman"/>
          </w:rPr>
          <m:t>MTT</m:t>
        </m:r>
      </m:oMath>
      <w:r w:rsidRPr="00014EF4">
        <w:rPr>
          <w:rFonts w:ascii="Times New Roman" w:hAnsi="Times New Roman" w:cs="Times New Roman"/>
        </w:rPr>
        <w:t xml:space="preserve">, mean transit time, which equals </w:t>
      </w:r>
      <m:oMath>
        <m:r>
          <w:rPr>
            <w:rFonts w:ascii="Cambria Math" w:eastAsia="Times New Roman" w:hAnsi="Cambria Math" w:cs="Times New Roman"/>
          </w:rPr>
          <m:t>4/</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Pr="00014EF4">
        <w:rPr>
          <w:rFonts w:ascii="Times New Roman" w:eastAsiaTheme="minorEastAsia" w:hAnsi="Times New Roman" w:cs="Times New Roman"/>
        </w:rPr>
        <w:t>.</w:t>
      </w:r>
    </w:p>
    <w:p w14:paraId="2BDE6A6C" w14:textId="77777777" w:rsidR="00A67BF3" w:rsidRPr="00014EF4" w:rsidRDefault="00A67BF3" w:rsidP="00386B99">
      <w:pPr>
        <w:rPr>
          <w:rFonts w:ascii="Times New Roman" w:eastAsiaTheme="minorEastAsia" w:hAnsi="Times New Roman" w:cs="Times New Roman"/>
          <w:color w:val="000000"/>
        </w:rPr>
      </w:pPr>
    </w:p>
    <w:p w14:paraId="0EA56922" w14:textId="39D7D2F3"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Platelet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oMath>
      <w:r w:rsidR="00A67BF3" w:rsidRPr="00014EF4">
        <w:rPr>
          <w:rFonts w:ascii="Times New Roman" w:hAnsi="Times New Roman" w:cs="Times New Roman"/>
        </w:rPr>
        <w:t xml:space="preserve">, linezolid drug exposure-response relationship of platelet count model that depends on </w:t>
      </w:r>
      <w:r w:rsidR="00A67BF3" w:rsidRPr="00014EF4">
        <w:rPr>
          <w:rFonts w:ascii="Times New Roman" w:eastAsiaTheme="minorEastAsia" w:hAnsi="Times New Roman" w:cs="Times New Roman"/>
          <w:color w:val="000000"/>
        </w:rPr>
        <w:t xml:space="preserve">concentration of linezolid in central compartment (plasma) of PK model,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oMath>
      <w:r w:rsidR="00A67BF3" w:rsidRPr="00014EF4">
        <w:rPr>
          <w:rFonts w:ascii="Times New Roman" w:eastAsiaTheme="minorEastAsia" w:hAnsi="Times New Roman" w:cs="Times New Roman"/>
          <w:color w:val="000000"/>
        </w:rPr>
        <w:t xml:space="preserve">. </w:t>
      </w:r>
    </w:p>
    <w:p w14:paraId="7ABF0428" w14:textId="27C4741E"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Platelet</m:t>
            </m:r>
          </m:sub>
        </m:sSub>
      </m:oMath>
      <w:r w:rsidR="00A67BF3" w:rsidRPr="00014EF4">
        <w:rPr>
          <w:rFonts w:ascii="Times New Roman" w:eastAsiaTheme="minorEastAsia" w:hAnsi="Times New Roman" w:cs="Times New Roman"/>
          <w:color w:val="000000"/>
        </w:rPr>
        <w:t>, maximum inhibitory effect, describe</w:t>
      </w:r>
      <w:r w:rsidR="001345F6" w:rsidRPr="00014EF4">
        <w:rPr>
          <w:rFonts w:ascii="Times New Roman" w:eastAsiaTheme="minorEastAsia" w:hAnsi="Times New Roman" w:cs="Times New Roman"/>
          <w:color w:val="000000"/>
        </w:rPr>
        <w:t>s</w:t>
      </w:r>
      <w:r w:rsidR="00A67BF3" w:rsidRPr="00014EF4">
        <w:rPr>
          <w:rFonts w:ascii="Times New Roman" w:eastAsiaTheme="minorEastAsia" w:hAnsi="Times New Roman" w:cs="Times New Roman"/>
          <w:color w:val="000000"/>
        </w:rPr>
        <w:t xml:space="preserve"> linezolid efficacy for linezolid drug exposure-response relationship </w:t>
      </w:r>
      <w:r w:rsidR="00A67BF3" w:rsidRPr="00014EF4">
        <w:rPr>
          <w:rFonts w:ascii="Times New Roman" w:hAnsi="Times New Roman" w:cs="Times New Roman"/>
        </w:rPr>
        <w:t>of platelet count model</w:t>
      </w:r>
      <w:r w:rsidR="00A67BF3" w:rsidRPr="00014EF4">
        <w:rPr>
          <w:rFonts w:ascii="Times New Roman" w:eastAsiaTheme="minorEastAsia" w:hAnsi="Times New Roman" w:cs="Times New Roman"/>
          <w:color w:val="000000"/>
        </w:rPr>
        <w:t xml:space="preserve">; </w:t>
      </w:r>
      <w:r w:rsidR="00A67BF3" w:rsidRPr="00014EF4">
        <w:rPr>
          <w:rFonts w:ascii="Times New Roman" w:hAnsi="Times New Roman" w:cs="Times New Roman"/>
        </w:rPr>
        <w:t xml:space="preserve"> </w:t>
      </w:r>
    </w:p>
    <w:p w14:paraId="0D0F6553" w14:textId="3E54BBD4" w:rsidR="00A67BF3" w:rsidRPr="00014EF4" w:rsidRDefault="00E90ACF" w:rsidP="00386B99">
      <w:pPr>
        <w:rPr>
          <w:rFonts w:ascii="Times New Roman" w:eastAsia="Times New Roman" w:hAnsi="Times New Roman" w:cs="Times New Roman"/>
          <w:color w:val="000000"/>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Platelet</m:t>
            </m:r>
          </m:sub>
        </m:sSub>
      </m:oMath>
      <w:r w:rsidR="00A67BF3" w:rsidRPr="00014EF4">
        <w:rPr>
          <w:rFonts w:ascii="Times New Roman" w:eastAsiaTheme="minorEastAsia" w:hAnsi="Times New Roman" w:cs="Times New Roman"/>
          <w:color w:val="000000"/>
        </w:rPr>
        <w:t xml:space="preserve">, linezolid </w:t>
      </w:r>
      <w:r w:rsidR="00A67BF3" w:rsidRPr="00014EF4">
        <w:rPr>
          <w:rFonts w:ascii="Times New Roman" w:eastAsia="Times New Roman" w:hAnsi="Times New Roman" w:cs="Times New Roman"/>
          <w:color w:val="000000"/>
        </w:rPr>
        <w:t xml:space="preserve">concentration to reach half maximal inhibitory effect, describes linezolid potency </w:t>
      </w:r>
      <w:r w:rsidR="00A67BF3" w:rsidRPr="00014EF4">
        <w:rPr>
          <w:rFonts w:ascii="Times New Roman" w:eastAsiaTheme="minorEastAsia" w:hAnsi="Times New Roman" w:cs="Times New Roman"/>
          <w:color w:val="000000"/>
        </w:rPr>
        <w:t xml:space="preserve">for linezolid drug exposure-response relationship </w:t>
      </w:r>
      <w:r w:rsidR="00A67BF3" w:rsidRPr="00014EF4">
        <w:rPr>
          <w:rFonts w:ascii="Times New Roman" w:hAnsi="Times New Roman" w:cs="Times New Roman"/>
        </w:rPr>
        <w:t>of platelet count model</w:t>
      </w:r>
      <w:r w:rsidR="00A67BF3" w:rsidRPr="00014EF4">
        <w:rPr>
          <w:rFonts w:ascii="Times New Roman" w:eastAsiaTheme="minorEastAsia" w:hAnsi="Times New Roman" w:cs="Times New Roman"/>
          <w:color w:val="000000"/>
        </w:rPr>
        <w:t xml:space="preserve">; </w:t>
      </w:r>
      <w:r w:rsidR="00A67BF3" w:rsidRPr="00014EF4">
        <w:rPr>
          <w:rFonts w:ascii="Times New Roman" w:hAnsi="Times New Roman" w:cs="Times New Roman"/>
        </w:rPr>
        <w:t xml:space="preserve"> </w:t>
      </w:r>
    </w:p>
    <w:p w14:paraId="22AEDF1F" w14:textId="77777777" w:rsidR="00A67BF3" w:rsidRPr="00014EF4" w:rsidRDefault="00E90ACF" w:rsidP="00386B99">
      <w:pPr>
        <w:rPr>
          <w:rFonts w:ascii="Times New Roman" w:hAnsi="Times New Roman" w:cs="Times New Roman"/>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Platelet</m:t>
            </m:r>
          </m:sub>
        </m:sSub>
      </m:oMath>
      <w:r w:rsidR="00A67BF3" w:rsidRPr="00014EF4">
        <w:rPr>
          <w:rFonts w:ascii="Times New Roman" w:eastAsia="Times New Roman" w:hAnsi="Times New Roman" w:cs="Times New Roman"/>
          <w:color w:val="000000"/>
        </w:rPr>
        <w:t xml:space="preserve">, Hill coefficient that describes the shape of the </w:t>
      </w:r>
      <w:r w:rsidR="00A67BF3" w:rsidRPr="00014EF4">
        <w:rPr>
          <w:rFonts w:ascii="Times New Roman" w:hAnsi="Times New Roman" w:cs="Times New Roman"/>
        </w:rPr>
        <w:t>linezolid drug exposure-response relationship of platelet count model</w:t>
      </w:r>
      <w:r w:rsidR="00A67BF3" w:rsidRPr="00014EF4">
        <w:rPr>
          <w:rFonts w:ascii="Times New Roman" w:eastAsiaTheme="minorEastAsia" w:hAnsi="Times New Roman" w:cs="Times New Roman"/>
          <w:color w:val="000000"/>
        </w:rPr>
        <w:t xml:space="preserve">. </w:t>
      </w:r>
    </w:p>
    <w:p w14:paraId="29B2640E" w14:textId="77777777" w:rsidR="00A67BF3" w:rsidRPr="00014EF4" w:rsidRDefault="00A67BF3" w:rsidP="00386B99">
      <w:pPr>
        <w:rPr>
          <w:rFonts w:ascii="Times New Roman" w:hAnsi="Times New Roman" w:cs="Times New Roman"/>
        </w:rPr>
      </w:pPr>
    </w:p>
    <w:p w14:paraId="3BB544FA" w14:textId="29F2D395" w:rsidR="00A67BF3" w:rsidRPr="00014EF4" w:rsidRDefault="00A67BF3" w:rsidP="00386B99">
      <w:pPr>
        <w:rPr>
          <w:rFonts w:ascii="Times New Roman" w:eastAsiaTheme="minorEastAsia" w:hAnsi="Times New Roman" w:cs="Times New Roman"/>
        </w:rPr>
      </w:pPr>
      <w:r w:rsidRPr="00014EF4">
        <w:rPr>
          <w:rFonts w:ascii="Times New Roman" w:hAnsi="Times New Roman" w:cs="Times New Roman"/>
        </w:rPr>
        <w:lastRenderedPageBreak/>
        <w:t xml:space="preserve">Log-normal interindividual variability was tested on </w:t>
      </w:r>
      <m:oMath>
        <m:sSub>
          <m:sSubPr>
            <m:ctrlPr>
              <w:rPr>
                <w:rFonts w:ascii="Cambria Math" w:eastAsia="Times New Roman" w:hAnsi="Cambria Math" w:cs="Times New Roman"/>
                <w:i/>
              </w:rPr>
            </m:ctrlPr>
          </m:sSubPr>
          <m:e>
            <m:r>
              <w:rPr>
                <w:rFonts w:ascii="Cambria Math" w:eastAsia="Times New Roman" w:hAnsi="Cambria Math" w:cs="Times New Roman"/>
              </w:rPr>
              <m:t>Circ</m:t>
            </m:r>
          </m:e>
          <m:sub>
            <m:r>
              <w:rPr>
                <w:rFonts w:ascii="Cambria Math" w:eastAsia="Times New Roman" w:hAnsi="Cambria Math" w:cs="Times New Roman"/>
              </w:rPr>
              <m:t>0</m:t>
            </m:r>
          </m:sub>
        </m:sSub>
      </m:oMath>
      <w:r w:rsidRPr="00014EF4">
        <w:rPr>
          <w:rFonts w:ascii="Times New Roman" w:hAnsi="Times New Roman" w:cs="Times New Roman"/>
        </w:rPr>
        <w:t>,</w:t>
      </w:r>
      <m:oMath>
        <m:r>
          <w:rPr>
            <w:rFonts w:ascii="Cambria Math" w:eastAsia="Times New Roman" w:hAnsi="Cambria Math" w:cs="Times New Roman"/>
          </w:rPr>
          <m:t xml:space="preserve"> MTT</m:t>
        </m:r>
      </m:oMath>
      <w:r w:rsidRPr="00014EF4">
        <w:rPr>
          <w:rFonts w:ascii="Times New Roman" w:eastAsiaTheme="minorEastAsia" w:hAnsi="Times New Roman" w:cs="Times New Roman"/>
        </w:rPr>
        <w:t>,</w:t>
      </w:r>
      <w:r w:rsidRPr="00014EF4">
        <w:rPr>
          <w:rFonts w:ascii="Times New Roman" w:hAnsi="Times New Roman" w:cs="Times New Roman"/>
        </w:rPr>
        <w:t xml:space="preserve"> </w:t>
      </w: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Platelet</m:t>
            </m:r>
          </m:sub>
        </m:sSub>
      </m:oMath>
      <w:r w:rsidRPr="00014EF4">
        <w:rPr>
          <w:rFonts w:ascii="Times New Roman" w:hAnsi="Times New Roman" w:cs="Times New Roman"/>
        </w:rPr>
        <w:t xml:space="preserve">, and </w:t>
      </w: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Platelet</m:t>
            </m:r>
          </m:sub>
        </m:sSub>
      </m:oMath>
      <w:r w:rsidRPr="00014EF4">
        <w:rPr>
          <w:rFonts w:ascii="Times New Roman" w:eastAsiaTheme="minorEastAsia" w:hAnsi="Times New Roman" w:cs="Times New Roman"/>
        </w:rPr>
        <w:t xml:space="preserve">. </w:t>
      </w:r>
      <w:r w:rsidRPr="00014EF4">
        <w:rPr>
          <w:rFonts w:ascii="Times New Roman" w:hAnsi="Times New Roman" w:cs="Times New Roman"/>
        </w:rPr>
        <w:t xml:space="preserve">The following equation was used: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i </m:t>
            </m:r>
          </m:sub>
        </m:sSub>
        <m:r>
          <w:rPr>
            <w:rFonts w:ascii="Cambria Math" w:hAnsi="Cambria Math" w:cs="Times New Roman"/>
          </w:rPr>
          <m:t>=TVPexp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e>
        </m:d>
      </m:oMath>
      <w:r w:rsidRPr="00014EF4">
        <w:rPr>
          <w:rFonts w:ascii="Times New Roman" w:eastAsiaTheme="minorEastAsia" w:hAnsi="Times New Roman" w:cs="Times New Roman"/>
        </w:rPr>
        <w:t xml:space="preserve"> where: </w:t>
      </w:r>
    </w:p>
    <w:p w14:paraId="34240722"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i </m:t>
            </m:r>
          </m:sub>
        </m:sSub>
      </m:oMath>
      <w:r w:rsidR="00A67BF3" w:rsidRPr="00014EF4">
        <w:rPr>
          <w:rFonts w:ascii="Times New Roman" w:eastAsiaTheme="minorEastAsia" w:hAnsi="Times New Roman" w:cs="Times New Roman"/>
        </w:rPr>
        <w:t xml:space="preserve"> is the estimated parameter for individual, </w:t>
      </w:r>
      <m:oMath>
        <m:r>
          <w:rPr>
            <w:rFonts w:ascii="Cambria Math" w:hAnsi="Cambria Math" w:cs="Times New Roman"/>
          </w:rPr>
          <m:t>i</m:t>
        </m:r>
      </m:oMath>
      <w:r w:rsidR="00A67BF3" w:rsidRPr="00014EF4">
        <w:rPr>
          <w:rFonts w:ascii="Times New Roman" w:eastAsiaTheme="minorEastAsia" w:hAnsi="Times New Roman" w:cs="Times New Roman"/>
        </w:rPr>
        <w:t xml:space="preserve">; </w:t>
      </w:r>
    </w:p>
    <w:p w14:paraId="653274CC" w14:textId="708A37DD" w:rsidR="00A67BF3" w:rsidRPr="00014EF4" w:rsidRDefault="00A67BF3" w:rsidP="00386B99">
      <w:pPr>
        <w:ind w:left="288"/>
        <w:rPr>
          <w:rFonts w:ascii="Times New Roman" w:eastAsiaTheme="minorEastAsia" w:hAnsi="Times New Roman" w:cs="Times New Roman"/>
        </w:rPr>
      </w:pPr>
      <m:oMath>
        <m:r>
          <w:rPr>
            <w:rFonts w:ascii="Cambria Math" w:hAnsi="Cambria Math" w:cs="Times New Roman"/>
          </w:rPr>
          <m:t>TVP</m:t>
        </m:r>
      </m:oMath>
      <w:r w:rsidRPr="00014EF4">
        <w:rPr>
          <w:rFonts w:ascii="Times New Roman" w:eastAsiaTheme="minorEastAsia" w:hAnsi="Times New Roman" w:cs="Times New Roman"/>
        </w:rPr>
        <w:t xml:space="preserve"> is the </w:t>
      </w:r>
      <w:r w:rsidR="001345F6" w:rsidRPr="00014EF4">
        <w:rPr>
          <w:rFonts w:ascii="Times New Roman" w:eastAsiaTheme="minorEastAsia" w:hAnsi="Times New Roman" w:cs="Times New Roman"/>
        </w:rPr>
        <w:t xml:space="preserve">population </w:t>
      </w:r>
      <w:r w:rsidRPr="00014EF4">
        <w:rPr>
          <w:rFonts w:ascii="Times New Roman" w:eastAsiaTheme="minorEastAsia" w:hAnsi="Times New Roman" w:cs="Times New Roman"/>
        </w:rPr>
        <w:t xml:space="preserve">typical value (median) for the parameter; </w:t>
      </w:r>
    </w:p>
    <w:p w14:paraId="5BB7A0F5" w14:textId="1F996A6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oMath>
      <w:r w:rsidR="00A67BF3" w:rsidRPr="00014EF4">
        <w:rPr>
          <w:rFonts w:ascii="Times New Roman" w:eastAsiaTheme="minorEastAsia" w:hAnsi="Times New Roman" w:cs="Times New Roman"/>
        </w:rPr>
        <w:t xml:space="preserve"> is the interindividual random effect reflecting the difference between an individual’s parameter value and the population’s typical value where </w:t>
      </w: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r>
          <w:rPr>
            <w:rFonts w:ascii="Cambria Math" w:hAnsi="Cambria Math" w:cs="Times New Roman"/>
          </w:rPr>
          <m:t xml:space="preserve">=N(0, </m:t>
        </m:r>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r>
          <w:rPr>
            <w:rFonts w:ascii="Cambria Math" w:hAnsi="Cambria Math" w:cs="Times New Roman"/>
          </w:rPr>
          <m:t>)</m:t>
        </m:r>
      </m:oMath>
      <w:r w:rsidR="00A67BF3" w:rsidRPr="00014EF4">
        <w:rPr>
          <w:rFonts w:ascii="Times New Roman" w:eastAsiaTheme="minorEastAsia"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oMath>
      <w:r w:rsidR="00A67BF3" w:rsidRPr="00014EF4">
        <w:rPr>
          <w:rFonts w:ascii="Times New Roman" w:eastAsiaTheme="minorEastAsia" w:hAnsi="Times New Roman" w:cs="Times New Roman"/>
        </w:rPr>
        <w:t xml:space="preserve"> is the variance of </w:t>
      </w:r>
      <m:oMath>
        <m:sSub>
          <m:sSubPr>
            <m:ctrlPr>
              <w:rPr>
                <w:rFonts w:ascii="Cambria Math" w:hAnsi="Cambria Math" w:cs="Times New Roman"/>
                <w:i/>
              </w:rPr>
            </m:ctrlPr>
          </m:sSubPr>
          <m:e>
            <m:r>
              <w:rPr>
                <w:rFonts w:ascii="Cambria Math" w:hAnsi="Cambria Math" w:cs="Times New Roman"/>
              </w:rPr>
              <m:t>η</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ub>
        </m:sSub>
      </m:oMath>
      <w:r w:rsidR="00A67BF3" w:rsidRPr="00014EF4">
        <w:rPr>
          <w:rFonts w:ascii="Times New Roman" w:eastAsiaTheme="minorEastAsia" w:hAnsi="Times New Roman" w:cs="Times New Roman"/>
        </w:rPr>
        <w:t xml:space="preserve">, which is estimated in model fitting. </w:t>
      </w:r>
    </w:p>
    <w:p w14:paraId="2EA6B198" w14:textId="77777777" w:rsidR="00A67BF3" w:rsidRPr="00014EF4" w:rsidRDefault="00A67BF3" w:rsidP="00386B99">
      <w:pPr>
        <w:rPr>
          <w:rFonts w:ascii="Times New Roman" w:eastAsiaTheme="minorEastAsia" w:hAnsi="Times New Roman" w:cs="Times New Roman"/>
        </w:rPr>
      </w:pPr>
      <w:r w:rsidRPr="00014EF4">
        <w:rPr>
          <w:rFonts w:ascii="Times New Roman" w:eastAsiaTheme="minorEastAsia" w:hAnsi="Times New Roman" w:cs="Times New Roman"/>
        </w:rPr>
        <w:t>The coefficient of variation (</w:t>
      </w:r>
      <m:oMath>
        <m:r>
          <w:rPr>
            <w:rFonts w:ascii="Cambria Math" w:eastAsiaTheme="minorEastAsia" w:hAnsi="Cambria Math" w:cs="Times New Roman"/>
          </w:rPr>
          <m:t>CV%</m:t>
        </m:r>
      </m:oMath>
      <w:r w:rsidRPr="00014EF4">
        <w:rPr>
          <w:rFonts w:ascii="Times New Roman" w:eastAsiaTheme="minorEastAsia" w:hAnsi="Times New Roman" w:cs="Times New Roman"/>
        </w:rPr>
        <w:t xml:space="preserve">= </w:t>
      </w:r>
      <m:oMath>
        <m:r>
          <w:rPr>
            <w:rFonts w:ascii="Cambria Math" w:eastAsiaTheme="minorEastAsia" w:hAnsi="Cambria Math" w:cs="Times New Roman"/>
          </w:rPr>
          <m:t>100sqrt(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2</m:t>
                    </m:r>
                  </m:sup>
                </m:sSup>
              </m:e>
            </m:d>
          </m:e>
        </m:func>
        <m:r>
          <w:rPr>
            <w:rFonts w:ascii="Cambria Math" w:eastAsiaTheme="minorEastAsia" w:hAnsi="Cambria Math" w:cs="Times New Roman"/>
          </w:rPr>
          <m:t>-1)</m:t>
        </m:r>
      </m:oMath>
      <w:r w:rsidRPr="00014EF4">
        <w:rPr>
          <w:rFonts w:ascii="Times New Roman" w:eastAsiaTheme="minorEastAsia" w:hAnsi="Times New Roman" w:cs="Times New Roman"/>
        </w:rPr>
        <w:t xml:space="preserve">) is reported. </w:t>
      </w:r>
    </w:p>
    <w:p w14:paraId="4BF7DED9" w14:textId="77777777" w:rsidR="00A67BF3" w:rsidRPr="00014EF4" w:rsidRDefault="00A67BF3" w:rsidP="00386B99">
      <w:pPr>
        <w:rPr>
          <w:rFonts w:ascii="Times New Roman" w:hAnsi="Times New Roman" w:cs="Times New Roman"/>
        </w:rPr>
      </w:pPr>
    </w:p>
    <w:p w14:paraId="7F2D015F" w14:textId="77777777" w:rsidR="00A67BF3" w:rsidRPr="00014EF4" w:rsidRDefault="00A67BF3" w:rsidP="00386B99">
      <w:pPr>
        <w:rPr>
          <w:rFonts w:ascii="Times New Roman" w:eastAsiaTheme="minorEastAsia" w:hAnsi="Times New Roman" w:cs="Times New Roman"/>
        </w:rPr>
      </w:pPr>
      <w:r w:rsidRPr="00014EF4">
        <w:rPr>
          <w:rFonts w:ascii="Times New Roman" w:eastAsiaTheme="minorEastAsia" w:hAnsi="Times New Roman" w:cs="Times New Roman"/>
        </w:rPr>
        <w:t xml:space="preserve">Correlations between random effects, </w:t>
      </w:r>
      <m:oMath>
        <m:r>
          <w:rPr>
            <w:rFonts w:ascii="Cambria Math" w:eastAsiaTheme="minorEastAsia" w:hAnsi="Cambria Math" w:cs="Times New Roman"/>
          </w:rPr>
          <m:t>a</m:t>
        </m:r>
      </m:oMath>
      <w:r w:rsidRPr="00014EF4">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014EF4">
        <w:rPr>
          <w:rFonts w:ascii="Times New Roman" w:eastAsiaTheme="minorEastAsia" w:hAnsi="Times New Roman" w:cs="Times New Roman"/>
        </w:rPr>
        <w:t xml:space="preserve">, were predicted using the following formula: </w:t>
      </w:r>
      <m:oMath>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a,b</m:t>
                </m:r>
              </m:sub>
            </m:sSub>
          </m:num>
          <m:den>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a</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b</m:t>
                </m:r>
              </m:sub>
              <m:sup>
                <m:r>
                  <w:rPr>
                    <w:rFonts w:ascii="Cambria Math" w:eastAsiaTheme="minorEastAsia" w:hAnsi="Cambria Math" w:cs="Times New Roman"/>
                  </w:rPr>
                  <m:t>2</m:t>
                </m:r>
              </m:sup>
            </m:sSubSup>
          </m:den>
        </m:f>
        <m:r>
          <w:rPr>
            <w:rFonts w:ascii="Cambria Math" w:eastAsiaTheme="minorEastAsia" w:hAnsi="Cambria Math" w:cs="Times New Roman"/>
          </w:rPr>
          <m:t>)</m:t>
        </m:r>
      </m:oMath>
      <w:r w:rsidRPr="00014EF4">
        <w:rPr>
          <w:rFonts w:ascii="Times New Roman" w:eastAsiaTheme="minorEastAsia" w:hAnsi="Times New Roman" w:cs="Times New Roman"/>
        </w:rPr>
        <w:t xml:space="preserve">, where </w:t>
      </w:r>
    </w:p>
    <w:p w14:paraId="7C9A91D8" w14:textId="77777777" w:rsidR="00A67BF3" w:rsidRPr="00014EF4" w:rsidRDefault="00E90ACF" w:rsidP="00386B99">
      <w:pPr>
        <w:ind w:left="288"/>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a</m:t>
            </m:r>
          </m:sub>
          <m:sup>
            <m:r>
              <w:rPr>
                <w:rFonts w:ascii="Cambria Math" w:eastAsiaTheme="minorEastAsia" w:hAnsi="Cambria Math" w:cs="Times New Roman"/>
              </w:rPr>
              <m:t>2</m:t>
            </m:r>
          </m:sup>
        </m:sSubSup>
      </m:oMath>
      <w:r w:rsidR="00A67BF3" w:rsidRPr="00014EF4">
        <w:rPr>
          <w:rFonts w:ascii="Times New Roman" w:eastAsiaTheme="minorEastAsia" w:hAnsi="Times New Roman" w:cs="Times New Roman"/>
        </w:rPr>
        <w:t xml:space="preserve"> is the variance of parameter </w:t>
      </w:r>
      <m:oMath>
        <m:r>
          <w:rPr>
            <w:rFonts w:ascii="Cambria Math" w:eastAsiaTheme="minorEastAsia" w:hAnsi="Cambria Math" w:cs="Times New Roman"/>
          </w:rPr>
          <m:t>a</m:t>
        </m:r>
      </m:oMath>
      <w:r w:rsidR="00A67BF3" w:rsidRPr="00014EF4">
        <w:rPr>
          <w:rFonts w:ascii="Times New Roman" w:eastAsiaTheme="minorEastAsia" w:hAnsi="Times New Roman" w:cs="Times New Roman"/>
        </w:rPr>
        <w:t>;</w:t>
      </w:r>
    </w:p>
    <w:p w14:paraId="50DA00E1" w14:textId="77777777" w:rsidR="00A67BF3" w:rsidRPr="00014EF4" w:rsidRDefault="00E90ACF" w:rsidP="00386B99">
      <w:pPr>
        <w:ind w:left="288"/>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ω</m:t>
            </m:r>
          </m:e>
          <m:sub>
            <m:r>
              <w:rPr>
                <w:rFonts w:ascii="Cambria Math" w:eastAsiaTheme="minorEastAsia" w:hAnsi="Cambria Math" w:cs="Times New Roman"/>
              </w:rPr>
              <m:t>b</m:t>
            </m:r>
          </m:sub>
          <m:sup>
            <m:r>
              <w:rPr>
                <w:rFonts w:ascii="Cambria Math" w:eastAsiaTheme="minorEastAsia" w:hAnsi="Cambria Math" w:cs="Times New Roman"/>
              </w:rPr>
              <m:t>2</m:t>
            </m:r>
          </m:sup>
        </m:sSubSup>
      </m:oMath>
      <w:r w:rsidR="00A67BF3" w:rsidRPr="00014EF4">
        <w:rPr>
          <w:rFonts w:ascii="Times New Roman" w:eastAsiaTheme="minorEastAsia" w:hAnsi="Times New Roman" w:cs="Times New Roman"/>
        </w:rPr>
        <w:t xml:space="preserve"> is the variance of parameter </w:t>
      </w:r>
      <m:oMath>
        <m:r>
          <w:rPr>
            <w:rFonts w:ascii="Cambria Math" w:eastAsiaTheme="minorEastAsia" w:hAnsi="Cambria Math" w:cs="Times New Roman"/>
          </w:rPr>
          <m:t>b</m:t>
        </m:r>
      </m:oMath>
      <w:r w:rsidR="00A67BF3" w:rsidRPr="00014EF4">
        <w:rPr>
          <w:rFonts w:ascii="Times New Roman" w:eastAsiaTheme="minorEastAsia" w:hAnsi="Times New Roman" w:cs="Times New Roman"/>
        </w:rPr>
        <w:t>;</w:t>
      </w:r>
    </w:p>
    <w:p w14:paraId="5660A9DA" w14:textId="77777777" w:rsidR="00A67BF3" w:rsidRPr="00014EF4" w:rsidRDefault="00A67BF3" w:rsidP="00386B99">
      <w:pPr>
        <w:ind w:left="288"/>
        <w:rPr>
          <w:rFonts w:ascii="Times New Roman" w:eastAsiaTheme="minorEastAsia" w:hAnsi="Times New Roman" w:cs="Times New Roman"/>
        </w:rPr>
      </w:pPr>
      <w:r w:rsidRPr="00014EF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a,b</m:t>
            </m:r>
          </m:sub>
        </m:sSub>
      </m:oMath>
      <w:r w:rsidRPr="00014EF4">
        <w:rPr>
          <w:rFonts w:ascii="Times New Roman" w:eastAsiaTheme="minorEastAsia" w:hAnsi="Times New Roman" w:cs="Times New Roman"/>
        </w:rPr>
        <w:t xml:space="preserve"> is the covariance between parameter</w:t>
      </w:r>
      <m:oMath>
        <m:r>
          <w:rPr>
            <w:rFonts w:ascii="Cambria Math" w:eastAsiaTheme="minorEastAsia" w:hAnsi="Cambria Math" w:cs="Times New Roman"/>
          </w:rPr>
          <m:t xml:space="preserve"> a</m:t>
        </m:r>
      </m:oMath>
      <w:r w:rsidRPr="00014EF4">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014EF4">
        <w:rPr>
          <w:rFonts w:ascii="Times New Roman" w:eastAsiaTheme="minorEastAsia" w:hAnsi="Times New Roman" w:cs="Times New Roman"/>
        </w:rPr>
        <w:t xml:space="preserve">. </w:t>
      </w:r>
    </w:p>
    <w:p w14:paraId="55610289" w14:textId="77777777" w:rsidR="00A67BF3" w:rsidRPr="00014EF4" w:rsidRDefault="00A67BF3" w:rsidP="00386B99">
      <w:pPr>
        <w:rPr>
          <w:rFonts w:ascii="Times New Roman" w:eastAsiaTheme="minorEastAsia" w:hAnsi="Times New Roman" w:cs="Times New Roman"/>
        </w:rPr>
      </w:pPr>
    </w:p>
    <w:p w14:paraId="05AB22A8" w14:textId="77777777" w:rsidR="00A67BF3" w:rsidRPr="00014EF4" w:rsidRDefault="00A67BF3" w:rsidP="00386B99">
      <w:pPr>
        <w:rPr>
          <w:rFonts w:ascii="Times New Roman" w:eastAsiaTheme="minorEastAsia" w:hAnsi="Times New Roman" w:cs="Times New Roman"/>
        </w:rPr>
      </w:pPr>
      <w:r w:rsidRPr="00014EF4">
        <w:rPr>
          <w:rFonts w:ascii="Times New Roman" w:eastAsiaTheme="minorEastAsia" w:hAnsi="Times New Roman" w:cs="Times New Roman"/>
        </w:rPr>
        <w:t xml:space="preserve">A proportional model was used to explain residual variability. The following equation was used: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 xml:space="preserve">i,j </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 xml:space="preserve">i,j </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r>
          <w:rPr>
            <w:rFonts w:ascii="Cambria Math" w:hAnsi="Cambria Math" w:cs="Times New Roman"/>
          </w:rPr>
          <m:t>)</m:t>
        </m:r>
      </m:oMath>
      <w:r w:rsidRPr="00014EF4">
        <w:rPr>
          <w:rFonts w:ascii="Times New Roman" w:eastAsiaTheme="minorEastAsia" w:hAnsi="Times New Roman" w:cs="Times New Roman"/>
        </w:rPr>
        <w:t xml:space="preserve"> where:</w:t>
      </w:r>
    </w:p>
    <w:p w14:paraId="115D3531" w14:textId="77777777" w:rsidR="00A67BF3" w:rsidRPr="00014EF4" w:rsidRDefault="00E90ACF" w:rsidP="00386B99">
      <w:pPr>
        <w:ind w:left="288"/>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 xml:space="preserve">i,j </m:t>
            </m:r>
          </m:sub>
        </m:sSub>
      </m:oMath>
      <w:r w:rsidR="00A67BF3" w:rsidRPr="00014EF4">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 xml:space="preserve">i,j </m:t>
            </m:r>
          </m:sub>
        </m:sSub>
      </m:oMath>
      <w:r w:rsidR="00A67BF3" w:rsidRPr="00014EF4">
        <w:rPr>
          <w:rFonts w:ascii="Times New Roman" w:eastAsiaTheme="minorEastAsia" w:hAnsi="Times New Roman" w:cs="Times New Roman"/>
        </w:rPr>
        <w:t xml:space="preserve">are the observed and model predicted dependent variable values, respectively, for individual, </w:t>
      </w:r>
      <m:oMath>
        <m:r>
          <w:rPr>
            <w:rFonts w:ascii="Cambria Math" w:hAnsi="Cambria Math" w:cs="Times New Roman"/>
          </w:rPr>
          <m:t>i</m:t>
        </m:r>
      </m:oMath>
      <w:r w:rsidR="00A67BF3" w:rsidRPr="00014EF4">
        <w:rPr>
          <w:rFonts w:ascii="Times New Roman" w:eastAsiaTheme="minorEastAsia" w:hAnsi="Times New Roman" w:cs="Times New Roman"/>
        </w:rPr>
        <w:t xml:space="preserve">, and sampling timepoint, </w:t>
      </w:r>
      <m:oMath>
        <m:r>
          <w:rPr>
            <w:rFonts w:ascii="Cambria Math" w:eastAsiaTheme="minorEastAsia" w:hAnsi="Cambria Math" w:cs="Times New Roman"/>
          </w:rPr>
          <m:t>j</m:t>
        </m:r>
      </m:oMath>
      <w:r w:rsidR="00A67BF3" w:rsidRPr="00014EF4">
        <w:rPr>
          <w:rFonts w:ascii="Times New Roman" w:eastAsiaTheme="minorEastAsia" w:hAnsi="Times New Roman" w:cs="Times New Roman"/>
        </w:rPr>
        <w:t>; and</w:t>
      </w:r>
    </w:p>
    <w:p w14:paraId="3FCE4815" w14:textId="77777777" w:rsidR="00A67BF3" w:rsidRPr="00014EF4" w:rsidRDefault="00E90ACF" w:rsidP="00386B99">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oMath>
      <w:r w:rsidR="00A67BF3" w:rsidRPr="00014EF4">
        <w:rPr>
          <w:rFonts w:ascii="Times New Roman" w:eastAsiaTheme="minorEastAsia" w:hAnsi="Times New Roman" w:cs="Times New Roman"/>
        </w:rPr>
        <w:t xml:space="preserve"> is the unexplained residual error reflecting the difference between observed and model predicted data where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r>
          <w:rPr>
            <w:rFonts w:ascii="Cambria Math" w:hAnsi="Cambria Math" w:cs="Times New Roman"/>
          </w:rPr>
          <m:t xml:space="preserve">=N(0,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oMath>
      <w:r w:rsidR="00A67BF3" w:rsidRPr="00014EF4">
        <w:rPr>
          <w:rFonts w:ascii="Times New Roman" w:eastAsiaTheme="minorEastAsia" w:hAnsi="Times New Roman" w:cs="Times New Roman"/>
        </w:rPr>
        <w:t xml:space="preserve"> and </w:t>
      </w:r>
      <m:oMath>
        <m:r>
          <w:rPr>
            <w:rFonts w:ascii="Cambria Math" w:hAnsi="Cambria Math" w:cs="Times New Roman"/>
          </w:rPr>
          <m:t>σ</m:t>
        </m:r>
      </m:oMath>
      <w:r w:rsidR="00A67BF3" w:rsidRPr="00014EF4">
        <w:rPr>
          <w:rFonts w:ascii="Times New Roman" w:eastAsiaTheme="minorEastAsia" w:hAnsi="Times New Roman" w:cs="Times New Roman"/>
        </w:rPr>
        <w:t xml:space="preserve"> is the standard deviation of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i,j</m:t>
            </m:r>
          </m:sub>
        </m:sSub>
      </m:oMath>
      <w:r w:rsidR="00A67BF3" w:rsidRPr="00014EF4">
        <w:rPr>
          <w:rFonts w:ascii="Times New Roman" w:eastAsiaTheme="minorEastAsia" w:hAnsi="Times New Roman" w:cs="Times New Roman"/>
        </w:rPr>
        <w:t xml:space="preserve"> which is estimated in the model fitting.  </w:t>
      </w:r>
    </w:p>
    <w:p w14:paraId="67B018B4"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br w:type="page"/>
      </w:r>
    </w:p>
    <w:p w14:paraId="3A9FA5A2" w14:textId="63ABB38C" w:rsidR="00A67BF3" w:rsidRPr="006941F2" w:rsidRDefault="00990105" w:rsidP="006941F2">
      <w:r w:rsidRPr="006941F2">
        <w:rPr>
          <w:rStyle w:val="Heading2Char"/>
          <w:rFonts w:ascii="Times New Roman" w:hAnsi="Times New Roman" w:cs="Times New Roman"/>
          <w:b/>
          <w:iCs/>
          <w:color w:val="auto"/>
          <w:sz w:val="24"/>
          <w:szCs w:val="24"/>
        </w:rPr>
        <w:lastRenderedPageBreak/>
        <w:t>Supplemental Table 7</w:t>
      </w:r>
      <w:r w:rsidRPr="006941F2">
        <w:rPr>
          <w:rStyle w:val="Heading2Char"/>
          <w:b/>
          <w:i/>
          <w:iCs/>
        </w:rPr>
        <w:t xml:space="preserve"> </w:t>
      </w:r>
      <w:r w:rsidR="00A67BF3" w:rsidRPr="006941F2">
        <w:rPr>
          <w:rFonts w:ascii="Times New Roman" w:hAnsi="Times New Roman" w:cs="Times New Roman"/>
        </w:rPr>
        <w:t xml:space="preserve">Parameter estimates for final platelet count model. CV% is the coefficient of variation percentage of the parameter’s interindividual variability and RSE% is the relative standard error percentage of the parameter estimate. See Supplemental Table </w:t>
      </w:r>
      <w:r w:rsidR="00923C47" w:rsidRPr="006941F2">
        <w:rPr>
          <w:rFonts w:ascii="Times New Roman" w:hAnsi="Times New Roman" w:cs="Times New Roman"/>
        </w:rPr>
        <w:t>6</w:t>
      </w:r>
      <w:r w:rsidR="00A67BF3" w:rsidRPr="006941F2">
        <w:rPr>
          <w:rFonts w:ascii="Times New Roman" w:hAnsi="Times New Roman" w:cs="Times New Roman"/>
        </w:rPr>
        <w:t xml:space="preserve"> and Supplemental Methods for more details on structural and stochastic models.</w:t>
      </w:r>
    </w:p>
    <w:tbl>
      <w:tblPr>
        <w:tblStyle w:val="TableGrid"/>
        <w:tblW w:w="0" w:type="auto"/>
        <w:tblLook w:val="04A0" w:firstRow="1" w:lastRow="0" w:firstColumn="1" w:lastColumn="0" w:noHBand="0" w:noVBand="1"/>
      </w:tblPr>
      <w:tblGrid>
        <w:gridCol w:w="265"/>
        <w:gridCol w:w="3690"/>
        <w:gridCol w:w="2278"/>
        <w:gridCol w:w="3117"/>
      </w:tblGrid>
      <w:tr w:rsidR="00A67BF3" w:rsidRPr="00014EF4" w14:paraId="5678849C" w14:textId="77777777" w:rsidTr="00E45606">
        <w:tc>
          <w:tcPr>
            <w:tcW w:w="3955" w:type="dxa"/>
            <w:gridSpan w:val="2"/>
          </w:tcPr>
          <w:p w14:paraId="19A20900"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Parameter (units)</w:t>
            </w:r>
          </w:p>
        </w:tc>
        <w:tc>
          <w:tcPr>
            <w:tcW w:w="2278" w:type="dxa"/>
          </w:tcPr>
          <w:p w14:paraId="784013F9"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Estimate (RSE %)</w:t>
            </w:r>
          </w:p>
        </w:tc>
        <w:tc>
          <w:tcPr>
            <w:tcW w:w="3117" w:type="dxa"/>
          </w:tcPr>
          <w:p w14:paraId="4D4B2287"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CV % (RSE %)</w:t>
            </w:r>
          </w:p>
        </w:tc>
      </w:tr>
      <w:tr w:rsidR="00A67BF3" w:rsidRPr="00014EF4" w14:paraId="2CB7BC37" w14:textId="77777777" w:rsidTr="00E45606">
        <w:tc>
          <w:tcPr>
            <w:tcW w:w="3955" w:type="dxa"/>
            <w:gridSpan w:val="2"/>
          </w:tcPr>
          <w:p w14:paraId="68844044"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Pretreatment platelet count, </w:t>
            </w:r>
            <m:oMath>
              <m:sSub>
                <m:sSubPr>
                  <m:ctrlPr>
                    <w:rPr>
                      <w:rFonts w:ascii="Cambria Math" w:eastAsia="Times New Roman" w:hAnsi="Cambria Math" w:cs="Times New Roman"/>
                      <w:i/>
                    </w:rPr>
                  </m:ctrlPr>
                </m:sSubPr>
                <m:e>
                  <m:r>
                    <w:rPr>
                      <w:rFonts w:ascii="Cambria Math" w:eastAsia="Times New Roman" w:hAnsi="Cambria Math" w:cs="Times New Roman"/>
                    </w:rPr>
                    <m:t>Circ</m:t>
                  </m:r>
                </m:e>
                <m:sub>
                  <m:r>
                    <w:rPr>
                      <w:rFonts w:ascii="Cambria Math" w:eastAsia="Times New Roman" w:hAnsi="Cambria Math" w:cs="Times New Roman"/>
                    </w:rPr>
                    <m:t>0</m:t>
                  </m:r>
                </m:sub>
              </m:sSub>
            </m:oMath>
            <w:r w:rsidRPr="00014EF4">
              <w:rPr>
                <w:rFonts w:ascii="Times New Roman" w:hAnsi="Times New Roman" w:cs="Times New Roman"/>
              </w:rPr>
              <w:t xml:space="preserve"> (10</w:t>
            </w:r>
            <w:r w:rsidRPr="00014EF4">
              <w:rPr>
                <w:rFonts w:ascii="Times New Roman" w:hAnsi="Times New Roman" w:cs="Times New Roman"/>
                <w:vertAlign w:val="superscript"/>
              </w:rPr>
              <w:t>9</w:t>
            </w:r>
            <w:r w:rsidRPr="00014EF4">
              <w:rPr>
                <w:rFonts w:ascii="Times New Roman" w:hAnsi="Times New Roman" w:cs="Times New Roman"/>
              </w:rPr>
              <w:t>/L)</w:t>
            </w:r>
          </w:p>
        </w:tc>
        <w:tc>
          <w:tcPr>
            <w:tcW w:w="2278" w:type="dxa"/>
          </w:tcPr>
          <w:p w14:paraId="34A26A9D" w14:textId="1255605C" w:rsidR="00A67BF3" w:rsidRPr="00014EF4" w:rsidRDefault="00A67BF3" w:rsidP="00393591">
            <w:pPr>
              <w:rPr>
                <w:rFonts w:ascii="Times New Roman" w:hAnsi="Times New Roman" w:cs="Times New Roman"/>
              </w:rPr>
            </w:pPr>
            <w:r w:rsidRPr="00014EF4">
              <w:rPr>
                <w:rFonts w:ascii="Times New Roman" w:hAnsi="Times New Roman" w:cs="Times New Roman"/>
              </w:rPr>
              <w:t>3</w:t>
            </w:r>
            <w:r w:rsidR="00ED23FB">
              <w:rPr>
                <w:rFonts w:ascii="Times New Roman" w:hAnsi="Times New Roman" w:cs="Times New Roman"/>
              </w:rPr>
              <w:t>52</w:t>
            </w:r>
            <w:r w:rsidRPr="00014EF4">
              <w:rPr>
                <w:rFonts w:ascii="Times New Roman" w:hAnsi="Times New Roman" w:cs="Times New Roman"/>
              </w:rPr>
              <w:t xml:space="preserve"> (</w:t>
            </w:r>
            <w:r w:rsidR="00ED23FB">
              <w:rPr>
                <w:rFonts w:ascii="Times New Roman" w:hAnsi="Times New Roman" w:cs="Times New Roman"/>
              </w:rPr>
              <w:t>3</w:t>
            </w:r>
            <w:r w:rsidRPr="00014EF4">
              <w:rPr>
                <w:rFonts w:ascii="Times New Roman" w:hAnsi="Times New Roman" w:cs="Times New Roman"/>
              </w:rPr>
              <w:t>)</w:t>
            </w:r>
          </w:p>
        </w:tc>
        <w:tc>
          <w:tcPr>
            <w:tcW w:w="3117" w:type="dxa"/>
          </w:tcPr>
          <w:p w14:paraId="55E0D0D1" w14:textId="7115BE98" w:rsidR="00A67BF3" w:rsidRPr="00014EF4" w:rsidRDefault="00A67BF3" w:rsidP="00386B99">
            <w:pPr>
              <w:rPr>
                <w:rFonts w:ascii="Times New Roman" w:hAnsi="Times New Roman" w:cs="Times New Roman"/>
              </w:rPr>
            </w:pPr>
            <w:r w:rsidRPr="00014EF4">
              <w:rPr>
                <w:rFonts w:ascii="Times New Roman" w:hAnsi="Times New Roman" w:cs="Times New Roman"/>
              </w:rPr>
              <w:t>3</w:t>
            </w:r>
            <w:r w:rsidR="008138BB">
              <w:rPr>
                <w:rFonts w:ascii="Times New Roman" w:hAnsi="Times New Roman" w:cs="Times New Roman"/>
              </w:rPr>
              <w:t>0</w:t>
            </w:r>
            <w:r w:rsidRPr="00014EF4">
              <w:rPr>
                <w:rFonts w:ascii="Times New Roman" w:hAnsi="Times New Roman" w:cs="Times New Roman"/>
              </w:rPr>
              <w:t xml:space="preserve"> (</w:t>
            </w:r>
            <w:r w:rsidR="008138BB">
              <w:rPr>
                <w:rFonts w:ascii="Times New Roman" w:hAnsi="Times New Roman" w:cs="Times New Roman"/>
              </w:rPr>
              <w:t>21</w:t>
            </w:r>
            <w:r w:rsidRPr="00014EF4">
              <w:rPr>
                <w:rFonts w:ascii="Times New Roman" w:hAnsi="Times New Roman" w:cs="Times New Roman"/>
              </w:rPr>
              <w:t>)</w:t>
            </w:r>
          </w:p>
        </w:tc>
      </w:tr>
      <w:tr w:rsidR="00A67BF3" w:rsidRPr="00014EF4" w14:paraId="712581ED" w14:textId="77777777" w:rsidTr="00E45606">
        <w:tc>
          <w:tcPr>
            <w:tcW w:w="3955" w:type="dxa"/>
            <w:gridSpan w:val="2"/>
          </w:tcPr>
          <w:p w14:paraId="1FBC5F1A"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Mean transit time, </w:t>
            </w:r>
            <m:oMath>
              <m:r>
                <w:rPr>
                  <w:rFonts w:ascii="Cambria Math" w:eastAsia="Times New Roman" w:hAnsi="Cambria Math" w:cs="Times New Roman"/>
                </w:rPr>
                <m:t>MTT</m:t>
              </m:r>
            </m:oMath>
            <w:r w:rsidRPr="00014EF4" w:rsidDel="007A66F3">
              <w:rPr>
                <w:rFonts w:ascii="Times New Roman" w:hAnsi="Times New Roman" w:cs="Times New Roman"/>
              </w:rPr>
              <w:t xml:space="preserve"> </w:t>
            </w:r>
            <w:r w:rsidRPr="00014EF4">
              <w:rPr>
                <w:rFonts w:ascii="Times New Roman" w:hAnsi="Times New Roman" w:cs="Times New Roman"/>
              </w:rPr>
              <w:t>(h)</w:t>
            </w:r>
          </w:p>
        </w:tc>
        <w:tc>
          <w:tcPr>
            <w:tcW w:w="2278" w:type="dxa"/>
          </w:tcPr>
          <w:p w14:paraId="1899291C" w14:textId="5B586F85" w:rsidR="00A67BF3" w:rsidRPr="00014EF4" w:rsidRDefault="00A67BF3" w:rsidP="00393591">
            <w:pPr>
              <w:rPr>
                <w:rFonts w:ascii="Times New Roman" w:hAnsi="Times New Roman" w:cs="Times New Roman"/>
              </w:rPr>
            </w:pPr>
            <w:r w:rsidRPr="00014EF4">
              <w:rPr>
                <w:rFonts w:ascii="Times New Roman" w:hAnsi="Times New Roman" w:cs="Times New Roman"/>
              </w:rPr>
              <w:t>1</w:t>
            </w:r>
            <w:r w:rsidR="00ED23FB">
              <w:rPr>
                <w:rFonts w:ascii="Times New Roman" w:hAnsi="Times New Roman" w:cs="Times New Roman"/>
              </w:rPr>
              <w:t>50</w:t>
            </w:r>
            <w:r w:rsidRPr="00014EF4">
              <w:rPr>
                <w:rFonts w:ascii="Times New Roman" w:hAnsi="Times New Roman" w:cs="Times New Roman"/>
              </w:rPr>
              <w:t xml:space="preserve"> (</w:t>
            </w:r>
            <w:r w:rsidR="00ED23FB">
              <w:rPr>
                <w:rFonts w:ascii="Times New Roman" w:hAnsi="Times New Roman" w:cs="Times New Roman"/>
              </w:rPr>
              <w:t>5</w:t>
            </w:r>
            <w:r w:rsidRPr="00014EF4">
              <w:rPr>
                <w:rFonts w:ascii="Times New Roman" w:hAnsi="Times New Roman" w:cs="Times New Roman"/>
              </w:rPr>
              <w:t>)</w:t>
            </w:r>
          </w:p>
        </w:tc>
        <w:tc>
          <w:tcPr>
            <w:tcW w:w="3117" w:type="dxa"/>
          </w:tcPr>
          <w:p w14:paraId="46CAE7A5" w14:textId="2ABF54A8" w:rsidR="00A67BF3" w:rsidRPr="00014EF4" w:rsidRDefault="008138BB" w:rsidP="00386B99">
            <w:pPr>
              <w:rPr>
                <w:rFonts w:ascii="Times New Roman" w:hAnsi="Times New Roman" w:cs="Times New Roman"/>
              </w:rPr>
            </w:pPr>
            <w:r>
              <w:rPr>
                <w:rFonts w:ascii="Times New Roman" w:hAnsi="Times New Roman" w:cs="Times New Roman"/>
              </w:rPr>
              <w:t>9</w:t>
            </w:r>
            <w:r w:rsidR="00A67BF3" w:rsidRPr="00014EF4">
              <w:rPr>
                <w:rFonts w:ascii="Times New Roman" w:hAnsi="Times New Roman" w:cs="Times New Roman"/>
              </w:rPr>
              <w:t xml:space="preserve"> (</w:t>
            </w:r>
            <w:r>
              <w:rPr>
                <w:rFonts w:ascii="Times New Roman" w:hAnsi="Times New Roman" w:cs="Times New Roman"/>
              </w:rPr>
              <w:t>62</w:t>
            </w:r>
            <w:r w:rsidR="00A67BF3" w:rsidRPr="00014EF4">
              <w:rPr>
                <w:rFonts w:ascii="Times New Roman" w:hAnsi="Times New Roman" w:cs="Times New Roman"/>
              </w:rPr>
              <w:t>)</w:t>
            </w:r>
          </w:p>
        </w:tc>
      </w:tr>
      <w:tr w:rsidR="00A67BF3" w:rsidRPr="00014EF4" w14:paraId="29569DA1" w14:textId="77777777" w:rsidTr="00E45606">
        <w:tc>
          <w:tcPr>
            <w:tcW w:w="3955" w:type="dxa"/>
            <w:gridSpan w:val="2"/>
          </w:tcPr>
          <w:p w14:paraId="46F64AE5"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Homeostatic feedback parameter, </w:t>
            </w:r>
            <m:oMath>
              <m:r>
                <w:rPr>
                  <w:rFonts w:ascii="Cambria Math" w:hAnsi="Cambria Math" w:cs="Times New Roman"/>
                </w:rPr>
                <m:t>γ</m:t>
              </m:r>
            </m:oMath>
          </w:p>
        </w:tc>
        <w:tc>
          <w:tcPr>
            <w:tcW w:w="2278" w:type="dxa"/>
          </w:tcPr>
          <w:p w14:paraId="71A41F4F" w14:textId="18171618" w:rsidR="00A67BF3" w:rsidRPr="00014EF4" w:rsidRDefault="00A67BF3" w:rsidP="00393591">
            <w:pPr>
              <w:rPr>
                <w:rFonts w:ascii="Times New Roman" w:hAnsi="Times New Roman" w:cs="Times New Roman"/>
              </w:rPr>
            </w:pPr>
            <w:r w:rsidRPr="00014EF4">
              <w:rPr>
                <w:rFonts w:ascii="Times New Roman" w:hAnsi="Times New Roman" w:cs="Times New Roman"/>
              </w:rPr>
              <w:t>0.2</w:t>
            </w:r>
            <w:r w:rsidR="008138BB">
              <w:rPr>
                <w:rFonts w:ascii="Times New Roman" w:hAnsi="Times New Roman" w:cs="Times New Roman"/>
              </w:rPr>
              <w:t>9</w:t>
            </w:r>
            <w:r w:rsidRPr="00014EF4">
              <w:rPr>
                <w:rFonts w:ascii="Times New Roman" w:hAnsi="Times New Roman" w:cs="Times New Roman"/>
              </w:rPr>
              <w:t xml:space="preserve"> (</w:t>
            </w:r>
            <w:r w:rsidR="008138BB">
              <w:rPr>
                <w:rFonts w:ascii="Times New Roman" w:hAnsi="Times New Roman" w:cs="Times New Roman"/>
              </w:rPr>
              <w:t>7</w:t>
            </w:r>
            <w:r w:rsidRPr="00014EF4">
              <w:rPr>
                <w:rFonts w:ascii="Times New Roman" w:hAnsi="Times New Roman" w:cs="Times New Roman"/>
              </w:rPr>
              <w:t>)</w:t>
            </w:r>
          </w:p>
        </w:tc>
        <w:tc>
          <w:tcPr>
            <w:tcW w:w="3117" w:type="dxa"/>
          </w:tcPr>
          <w:p w14:paraId="40521E06" w14:textId="77777777" w:rsidR="00A67BF3" w:rsidRPr="00014EF4" w:rsidRDefault="00A67BF3" w:rsidP="00386B99">
            <w:pPr>
              <w:rPr>
                <w:rFonts w:ascii="Times New Roman" w:hAnsi="Times New Roman" w:cs="Times New Roman"/>
              </w:rPr>
            </w:pPr>
          </w:p>
        </w:tc>
      </w:tr>
      <w:tr w:rsidR="00A67BF3" w:rsidRPr="00014EF4" w14:paraId="11A28267" w14:textId="77777777" w:rsidTr="00E45606">
        <w:tc>
          <w:tcPr>
            <w:tcW w:w="3955" w:type="dxa"/>
            <w:gridSpan w:val="2"/>
          </w:tcPr>
          <w:p w14:paraId="7AE9EDF8" w14:textId="3D217541"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Platelet</m:t>
                  </m:r>
                </m:sub>
              </m:sSub>
            </m:oMath>
            <w:r w:rsidR="00A67BF3" w:rsidRPr="00014EF4">
              <w:rPr>
                <w:rFonts w:ascii="Times New Roman" w:hAnsi="Times New Roman" w:cs="Times New Roman"/>
              </w:rPr>
              <w:t xml:space="preserve"> (mg/L) </w:t>
            </w:r>
          </w:p>
        </w:tc>
        <w:tc>
          <w:tcPr>
            <w:tcW w:w="2278" w:type="dxa"/>
          </w:tcPr>
          <w:p w14:paraId="7B5B440B" w14:textId="4BCFFB63" w:rsidR="00A67BF3" w:rsidRPr="00014EF4" w:rsidRDefault="008138BB" w:rsidP="00393591">
            <w:pPr>
              <w:rPr>
                <w:rFonts w:ascii="Times New Roman" w:hAnsi="Times New Roman" w:cs="Times New Roman"/>
              </w:rPr>
            </w:pPr>
            <w:r>
              <w:rPr>
                <w:rFonts w:ascii="Times New Roman" w:hAnsi="Times New Roman" w:cs="Times New Roman"/>
              </w:rPr>
              <w:t>2.8</w:t>
            </w:r>
            <w:r w:rsidR="00A67BF3" w:rsidRPr="00014EF4">
              <w:rPr>
                <w:rFonts w:ascii="Times New Roman" w:hAnsi="Times New Roman" w:cs="Times New Roman"/>
              </w:rPr>
              <w:t xml:space="preserve"> (</w:t>
            </w:r>
            <w:r>
              <w:rPr>
                <w:rFonts w:ascii="Times New Roman" w:hAnsi="Times New Roman" w:cs="Times New Roman"/>
              </w:rPr>
              <w:t>43</w:t>
            </w:r>
            <w:r w:rsidR="00A67BF3" w:rsidRPr="00014EF4">
              <w:rPr>
                <w:rFonts w:ascii="Times New Roman" w:hAnsi="Times New Roman" w:cs="Times New Roman"/>
              </w:rPr>
              <w:t>)</w:t>
            </w:r>
          </w:p>
        </w:tc>
        <w:tc>
          <w:tcPr>
            <w:tcW w:w="3117" w:type="dxa"/>
          </w:tcPr>
          <w:p w14:paraId="774E4B0F" w14:textId="69CC1F9D" w:rsidR="00A67BF3" w:rsidRPr="00014EF4" w:rsidRDefault="00A67BF3" w:rsidP="00386B99">
            <w:pPr>
              <w:rPr>
                <w:rFonts w:ascii="Times New Roman" w:hAnsi="Times New Roman" w:cs="Times New Roman"/>
              </w:rPr>
            </w:pPr>
            <w:r w:rsidRPr="00014EF4">
              <w:rPr>
                <w:rFonts w:ascii="Times New Roman" w:hAnsi="Times New Roman" w:cs="Times New Roman"/>
              </w:rPr>
              <w:t>10</w:t>
            </w:r>
            <w:r w:rsidR="008138BB">
              <w:rPr>
                <w:rFonts w:ascii="Times New Roman" w:hAnsi="Times New Roman" w:cs="Times New Roman"/>
              </w:rPr>
              <w:t>4</w:t>
            </w:r>
            <w:r w:rsidRPr="00014EF4">
              <w:rPr>
                <w:rFonts w:ascii="Times New Roman" w:hAnsi="Times New Roman" w:cs="Times New Roman"/>
              </w:rPr>
              <w:t xml:space="preserve"> (</w:t>
            </w:r>
            <w:r w:rsidR="008138BB">
              <w:rPr>
                <w:rFonts w:ascii="Times New Roman" w:hAnsi="Times New Roman" w:cs="Times New Roman"/>
              </w:rPr>
              <w:t>34</w:t>
            </w:r>
            <w:r w:rsidRPr="00014EF4">
              <w:rPr>
                <w:rFonts w:ascii="Times New Roman" w:hAnsi="Times New Roman" w:cs="Times New Roman"/>
              </w:rPr>
              <w:t>)</w:t>
            </w:r>
          </w:p>
        </w:tc>
      </w:tr>
      <w:tr w:rsidR="00A67BF3" w:rsidRPr="00014EF4" w14:paraId="060946C5" w14:textId="77777777" w:rsidTr="00E45606">
        <w:tc>
          <w:tcPr>
            <w:tcW w:w="3955" w:type="dxa"/>
            <w:gridSpan w:val="2"/>
          </w:tcPr>
          <w:p w14:paraId="227157F3" w14:textId="56E5C943"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E</m:t>
                      </m:r>
                    </m:e>
                    <m:sub>
                      <m:r>
                        <w:rPr>
                          <w:rFonts w:ascii="Cambria Math" w:hAnsi="Cambria Math"/>
                          <w:color w:val="201F1E"/>
                        </w:rPr>
                        <m:t>MAX</m:t>
                      </m:r>
                    </m:sub>
                  </m:sSub>
                </m:e>
                <m:sub>
                  <m:r>
                    <w:rPr>
                      <w:rFonts w:ascii="Cambria Math" w:eastAsia="Times New Roman" w:hAnsi="Cambria Math" w:cs="Times New Roman"/>
                      <w:color w:val="000000"/>
                    </w:rPr>
                    <m:t>Platelet</m:t>
                  </m:r>
                </m:sub>
              </m:sSub>
            </m:oMath>
            <w:r w:rsidR="00A67BF3" w:rsidRPr="00014EF4">
              <w:rPr>
                <w:rFonts w:ascii="Times New Roman" w:hAnsi="Times New Roman" w:cs="Times New Roman"/>
              </w:rPr>
              <w:t xml:space="preserve"> (%)</w:t>
            </w:r>
          </w:p>
        </w:tc>
        <w:tc>
          <w:tcPr>
            <w:tcW w:w="2278" w:type="dxa"/>
          </w:tcPr>
          <w:p w14:paraId="7147D765" w14:textId="317EFF31" w:rsidR="00A67BF3" w:rsidRPr="00014EF4" w:rsidRDefault="008138BB" w:rsidP="00393591">
            <w:pPr>
              <w:rPr>
                <w:rFonts w:ascii="Times New Roman" w:hAnsi="Times New Roman" w:cs="Times New Roman"/>
              </w:rPr>
            </w:pPr>
            <w:r>
              <w:rPr>
                <w:rFonts w:ascii="Times New Roman" w:hAnsi="Times New Roman" w:cs="Times New Roman"/>
              </w:rPr>
              <w:t>7.5</w:t>
            </w:r>
            <w:r w:rsidR="00A67BF3" w:rsidRPr="00014EF4">
              <w:rPr>
                <w:rFonts w:ascii="Times New Roman" w:hAnsi="Times New Roman" w:cs="Times New Roman"/>
              </w:rPr>
              <w:t xml:space="preserve"> (</w:t>
            </w:r>
            <w:r>
              <w:rPr>
                <w:rFonts w:ascii="Times New Roman" w:hAnsi="Times New Roman" w:cs="Times New Roman"/>
              </w:rPr>
              <w:t>13</w:t>
            </w:r>
            <w:r w:rsidR="00A67BF3" w:rsidRPr="00014EF4">
              <w:rPr>
                <w:rFonts w:ascii="Times New Roman" w:hAnsi="Times New Roman" w:cs="Times New Roman"/>
              </w:rPr>
              <w:t>)</w:t>
            </w:r>
          </w:p>
        </w:tc>
        <w:tc>
          <w:tcPr>
            <w:tcW w:w="3117" w:type="dxa"/>
          </w:tcPr>
          <w:p w14:paraId="6C1F40E3" w14:textId="4E4205B3" w:rsidR="00A67BF3" w:rsidRPr="00014EF4" w:rsidRDefault="00A67BF3" w:rsidP="00386B99">
            <w:pPr>
              <w:rPr>
                <w:rFonts w:ascii="Times New Roman" w:hAnsi="Times New Roman" w:cs="Times New Roman"/>
              </w:rPr>
            </w:pPr>
            <w:r w:rsidRPr="00014EF4">
              <w:rPr>
                <w:rFonts w:ascii="Times New Roman" w:hAnsi="Times New Roman" w:cs="Times New Roman"/>
              </w:rPr>
              <w:t>4</w:t>
            </w:r>
            <w:r w:rsidR="008138BB">
              <w:rPr>
                <w:rFonts w:ascii="Times New Roman" w:hAnsi="Times New Roman" w:cs="Times New Roman"/>
              </w:rPr>
              <w:t>7</w:t>
            </w:r>
            <w:r w:rsidRPr="00014EF4">
              <w:rPr>
                <w:rFonts w:ascii="Times New Roman" w:hAnsi="Times New Roman" w:cs="Times New Roman"/>
              </w:rPr>
              <w:t xml:space="preserve"> (</w:t>
            </w:r>
            <w:r w:rsidR="008138BB">
              <w:rPr>
                <w:rFonts w:ascii="Times New Roman" w:hAnsi="Times New Roman" w:cs="Times New Roman"/>
              </w:rPr>
              <w:t>28</w:t>
            </w:r>
            <w:r w:rsidRPr="00014EF4">
              <w:rPr>
                <w:rFonts w:ascii="Times New Roman" w:hAnsi="Times New Roman" w:cs="Times New Roman"/>
              </w:rPr>
              <w:t>)</w:t>
            </w:r>
          </w:p>
        </w:tc>
      </w:tr>
      <w:tr w:rsidR="00A67BF3" w:rsidRPr="00014EF4" w14:paraId="784A09D6" w14:textId="77777777" w:rsidTr="00E45606">
        <w:tc>
          <w:tcPr>
            <w:tcW w:w="3955" w:type="dxa"/>
            <w:gridSpan w:val="2"/>
          </w:tcPr>
          <w:p w14:paraId="2CECA240" w14:textId="77777777"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HILL</m:t>
                  </m:r>
                </m:e>
                <m:sub>
                  <m:r>
                    <w:rPr>
                      <w:rFonts w:ascii="Cambria Math" w:eastAsia="Times New Roman" w:hAnsi="Cambria Math" w:cs="Times New Roman"/>
                      <w:color w:val="000000"/>
                    </w:rPr>
                    <m:t>Platelet</m:t>
                  </m:r>
                </m:sub>
              </m:sSub>
            </m:oMath>
            <w:r w:rsidR="00A67BF3" w:rsidRPr="00014EF4">
              <w:rPr>
                <w:rFonts w:ascii="Times New Roman" w:hAnsi="Times New Roman" w:cs="Times New Roman"/>
              </w:rPr>
              <w:t xml:space="preserve"> </w:t>
            </w:r>
          </w:p>
        </w:tc>
        <w:tc>
          <w:tcPr>
            <w:tcW w:w="2278" w:type="dxa"/>
          </w:tcPr>
          <w:p w14:paraId="0D192AF3" w14:textId="4A3E55F0" w:rsidR="00A67BF3" w:rsidRPr="00014EF4" w:rsidRDefault="00A67BF3" w:rsidP="00393591">
            <w:pPr>
              <w:rPr>
                <w:rFonts w:ascii="Times New Roman" w:hAnsi="Times New Roman" w:cs="Times New Roman"/>
              </w:rPr>
            </w:pPr>
            <w:r w:rsidRPr="00014EF4">
              <w:rPr>
                <w:rFonts w:ascii="Times New Roman" w:hAnsi="Times New Roman" w:cs="Times New Roman"/>
              </w:rPr>
              <w:t>3.</w:t>
            </w:r>
            <w:r w:rsidR="008138BB">
              <w:rPr>
                <w:rFonts w:ascii="Times New Roman" w:hAnsi="Times New Roman" w:cs="Times New Roman"/>
              </w:rPr>
              <w:t>7</w:t>
            </w:r>
            <w:r w:rsidRPr="00014EF4">
              <w:rPr>
                <w:rFonts w:ascii="Times New Roman" w:hAnsi="Times New Roman" w:cs="Times New Roman"/>
              </w:rPr>
              <w:t xml:space="preserve"> (</w:t>
            </w:r>
            <w:r w:rsidR="008138BB">
              <w:rPr>
                <w:rFonts w:ascii="Times New Roman" w:hAnsi="Times New Roman" w:cs="Times New Roman"/>
              </w:rPr>
              <w:t>56</w:t>
            </w:r>
            <w:r w:rsidRPr="00014EF4">
              <w:rPr>
                <w:rFonts w:ascii="Times New Roman" w:hAnsi="Times New Roman" w:cs="Times New Roman"/>
              </w:rPr>
              <w:t xml:space="preserve">) </w:t>
            </w:r>
          </w:p>
        </w:tc>
        <w:tc>
          <w:tcPr>
            <w:tcW w:w="3117" w:type="dxa"/>
          </w:tcPr>
          <w:p w14:paraId="19915A83" w14:textId="77777777" w:rsidR="00A67BF3" w:rsidRPr="00014EF4" w:rsidRDefault="00A67BF3" w:rsidP="00386B99">
            <w:pPr>
              <w:rPr>
                <w:rFonts w:ascii="Times New Roman" w:hAnsi="Times New Roman" w:cs="Times New Roman"/>
              </w:rPr>
            </w:pPr>
          </w:p>
        </w:tc>
      </w:tr>
      <w:tr w:rsidR="00A67BF3" w:rsidRPr="00014EF4" w14:paraId="03C17546" w14:textId="77777777" w:rsidTr="00E45606">
        <w:tc>
          <w:tcPr>
            <w:tcW w:w="3955" w:type="dxa"/>
            <w:gridSpan w:val="2"/>
          </w:tcPr>
          <w:p w14:paraId="4B684410"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Standard deviation of proportional residual error, </w:t>
            </w:r>
            <m:oMath>
              <m:r>
                <w:rPr>
                  <w:rFonts w:ascii="Cambria Math" w:hAnsi="Cambria Math" w:cs="Times New Roman"/>
                </w:rPr>
                <m:t>σ</m:t>
              </m:r>
            </m:oMath>
            <w:r w:rsidRPr="00014EF4">
              <w:rPr>
                <w:rFonts w:ascii="Times New Roman" w:hAnsi="Times New Roman" w:cs="Times New Roman"/>
              </w:rPr>
              <w:t xml:space="preserve"> </w:t>
            </w:r>
          </w:p>
        </w:tc>
        <w:tc>
          <w:tcPr>
            <w:tcW w:w="2278" w:type="dxa"/>
          </w:tcPr>
          <w:p w14:paraId="7A07F43F"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0.17 (4)</w:t>
            </w:r>
          </w:p>
        </w:tc>
        <w:tc>
          <w:tcPr>
            <w:tcW w:w="3117" w:type="dxa"/>
          </w:tcPr>
          <w:p w14:paraId="1E321E4F" w14:textId="77777777" w:rsidR="00A67BF3" w:rsidRPr="00014EF4" w:rsidRDefault="00A67BF3" w:rsidP="00386B99">
            <w:pPr>
              <w:rPr>
                <w:rFonts w:ascii="Times New Roman" w:hAnsi="Times New Roman" w:cs="Times New Roman"/>
              </w:rPr>
            </w:pPr>
          </w:p>
        </w:tc>
      </w:tr>
      <w:tr w:rsidR="00A67BF3" w:rsidRPr="00014EF4" w14:paraId="1C3C3388" w14:textId="77777777" w:rsidTr="00E45606">
        <w:tc>
          <w:tcPr>
            <w:tcW w:w="3955" w:type="dxa"/>
            <w:gridSpan w:val="2"/>
          </w:tcPr>
          <w:p w14:paraId="2FBCB73A"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Correlations between random effects: </w:t>
            </w:r>
          </w:p>
        </w:tc>
        <w:tc>
          <w:tcPr>
            <w:tcW w:w="2278" w:type="dxa"/>
          </w:tcPr>
          <w:p w14:paraId="75CDF9C5" w14:textId="77777777" w:rsidR="00A67BF3" w:rsidRPr="00014EF4" w:rsidRDefault="00A67BF3" w:rsidP="00393591">
            <w:pPr>
              <w:rPr>
                <w:rFonts w:ascii="Times New Roman" w:hAnsi="Times New Roman" w:cs="Times New Roman"/>
              </w:rPr>
            </w:pPr>
          </w:p>
        </w:tc>
        <w:tc>
          <w:tcPr>
            <w:tcW w:w="3117" w:type="dxa"/>
          </w:tcPr>
          <w:p w14:paraId="79F3E244" w14:textId="77777777" w:rsidR="00A67BF3" w:rsidRPr="00014EF4" w:rsidRDefault="00A67BF3" w:rsidP="00386B99">
            <w:pPr>
              <w:rPr>
                <w:rFonts w:ascii="Times New Roman" w:hAnsi="Times New Roman" w:cs="Times New Roman"/>
              </w:rPr>
            </w:pPr>
          </w:p>
        </w:tc>
      </w:tr>
      <w:tr w:rsidR="00A67BF3" w:rsidRPr="00014EF4" w14:paraId="63DEFA58" w14:textId="77777777" w:rsidTr="00E45606">
        <w:tc>
          <w:tcPr>
            <w:tcW w:w="265" w:type="dxa"/>
          </w:tcPr>
          <w:p w14:paraId="4C91A061" w14:textId="77777777" w:rsidR="00A67BF3" w:rsidRPr="00014EF4" w:rsidRDefault="00A67BF3" w:rsidP="00393591">
            <w:pPr>
              <w:rPr>
                <w:rFonts w:ascii="Times New Roman" w:hAnsi="Times New Roman" w:cs="Times New Roman"/>
              </w:rPr>
            </w:pPr>
          </w:p>
        </w:tc>
        <w:tc>
          <w:tcPr>
            <w:tcW w:w="3690" w:type="dxa"/>
          </w:tcPr>
          <w:p w14:paraId="09C27704" w14:textId="77777777"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Circ</m:t>
                  </m:r>
                </m:e>
                <m:sub>
                  <m:r>
                    <w:rPr>
                      <w:rFonts w:ascii="Cambria Math" w:eastAsia="Times New Roman" w:hAnsi="Cambria Math" w:cs="Times New Roman"/>
                    </w:rPr>
                    <m:t>0</m:t>
                  </m:r>
                </m:sub>
              </m:sSub>
            </m:oMath>
            <w:r w:rsidR="00A67BF3" w:rsidRPr="00014EF4">
              <w:rPr>
                <w:rFonts w:ascii="Times New Roman" w:hAnsi="Times New Roman" w:cs="Times New Roman"/>
              </w:rPr>
              <w:t xml:space="preserve"> and </w:t>
            </w:r>
            <m:oMath>
              <m:r>
                <w:rPr>
                  <w:rFonts w:ascii="Cambria Math" w:eastAsia="Times New Roman" w:hAnsi="Cambria Math" w:cs="Times New Roman"/>
                </w:rPr>
                <m:t>MTT</m:t>
              </m:r>
            </m:oMath>
          </w:p>
        </w:tc>
        <w:tc>
          <w:tcPr>
            <w:tcW w:w="2278" w:type="dxa"/>
          </w:tcPr>
          <w:p w14:paraId="045C9CC3" w14:textId="734861D2" w:rsidR="00A67BF3" w:rsidRPr="00014EF4" w:rsidRDefault="00A67BF3" w:rsidP="00393591">
            <w:pPr>
              <w:rPr>
                <w:rFonts w:ascii="Times New Roman" w:hAnsi="Times New Roman" w:cs="Times New Roman"/>
              </w:rPr>
            </w:pPr>
            <w:r w:rsidRPr="00014EF4">
              <w:rPr>
                <w:rFonts w:ascii="Times New Roman" w:hAnsi="Times New Roman" w:cs="Times New Roman"/>
              </w:rPr>
              <w:t>0.</w:t>
            </w:r>
            <w:r w:rsidR="008138BB">
              <w:rPr>
                <w:rFonts w:ascii="Times New Roman" w:hAnsi="Times New Roman" w:cs="Times New Roman"/>
              </w:rPr>
              <w:t>21</w:t>
            </w:r>
            <w:r w:rsidRPr="00014EF4">
              <w:rPr>
                <w:rFonts w:ascii="Times New Roman" w:hAnsi="Times New Roman" w:cs="Times New Roman"/>
              </w:rPr>
              <w:t xml:space="preserve"> (</w:t>
            </w:r>
            <w:r w:rsidR="008138BB">
              <w:rPr>
                <w:rFonts w:ascii="Times New Roman" w:hAnsi="Times New Roman" w:cs="Times New Roman"/>
              </w:rPr>
              <w:t>70</w:t>
            </w:r>
            <w:r w:rsidRPr="00014EF4">
              <w:rPr>
                <w:rFonts w:ascii="Times New Roman" w:hAnsi="Times New Roman" w:cs="Times New Roman"/>
              </w:rPr>
              <w:t>)</w:t>
            </w:r>
          </w:p>
        </w:tc>
        <w:tc>
          <w:tcPr>
            <w:tcW w:w="3117" w:type="dxa"/>
          </w:tcPr>
          <w:p w14:paraId="6FF6A32D" w14:textId="77777777" w:rsidR="00A67BF3" w:rsidRPr="00014EF4" w:rsidRDefault="00A67BF3" w:rsidP="00386B99">
            <w:pPr>
              <w:rPr>
                <w:rFonts w:ascii="Times New Roman" w:hAnsi="Times New Roman" w:cs="Times New Roman"/>
              </w:rPr>
            </w:pPr>
          </w:p>
        </w:tc>
      </w:tr>
      <w:tr w:rsidR="00A67BF3" w:rsidRPr="00014EF4" w14:paraId="3EAD39B4" w14:textId="77777777" w:rsidTr="00E45606">
        <w:tc>
          <w:tcPr>
            <w:tcW w:w="265" w:type="dxa"/>
          </w:tcPr>
          <w:p w14:paraId="7C36EBB0" w14:textId="77777777" w:rsidR="00A67BF3" w:rsidRPr="00014EF4" w:rsidRDefault="00A67BF3" w:rsidP="00393591">
            <w:pPr>
              <w:rPr>
                <w:rFonts w:ascii="Times New Roman" w:hAnsi="Times New Roman" w:cs="Times New Roman"/>
              </w:rPr>
            </w:pPr>
          </w:p>
        </w:tc>
        <w:tc>
          <w:tcPr>
            <w:tcW w:w="3690" w:type="dxa"/>
          </w:tcPr>
          <w:p w14:paraId="61FCCA74" w14:textId="624425AA" w:rsidR="00A67BF3" w:rsidRPr="00014EF4" w:rsidRDefault="00E90ACF" w:rsidP="00393591">
            <w:pPr>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Circ</m:t>
                  </m:r>
                </m:e>
                <m:sub>
                  <m:r>
                    <w:rPr>
                      <w:rFonts w:ascii="Cambria Math" w:eastAsia="Times New Roman" w:hAnsi="Cambria Math" w:cs="Times New Roman"/>
                    </w:rPr>
                    <m:t>0</m:t>
                  </m:r>
                </m:sub>
              </m:sSub>
            </m:oMath>
            <w:r w:rsidR="00A67BF3" w:rsidRPr="00014EF4">
              <w:rPr>
                <w:rFonts w:ascii="Times New Roman" w:hAnsi="Times New Roman" w:cs="Times New Roman"/>
              </w:rPr>
              <w:t xml:space="preserve"> and </w:t>
            </w: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Platelet</m:t>
                  </m:r>
                </m:sub>
              </m:sSub>
            </m:oMath>
          </w:p>
        </w:tc>
        <w:tc>
          <w:tcPr>
            <w:tcW w:w="2278" w:type="dxa"/>
          </w:tcPr>
          <w:p w14:paraId="39EFA65F" w14:textId="3A2593E7" w:rsidR="00A67BF3" w:rsidRPr="00014EF4" w:rsidRDefault="00A67BF3" w:rsidP="00393591">
            <w:pPr>
              <w:rPr>
                <w:rFonts w:ascii="Times New Roman" w:hAnsi="Times New Roman" w:cs="Times New Roman"/>
              </w:rPr>
            </w:pPr>
            <w:r w:rsidRPr="00014EF4">
              <w:rPr>
                <w:rFonts w:ascii="Times New Roman" w:hAnsi="Times New Roman" w:cs="Times New Roman"/>
              </w:rPr>
              <w:t>-0.</w:t>
            </w:r>
            <w:r w:rsidR="008138BB">
              <w:rPr>
                <w:rFonts w:ascii="Times New Roman" w:hAnsi="Times New Roman" w:cs="Times New Roman"/>
              </w:rPr>
              <w:t>35</w:t>
            </w:r>
            <w:r w:rsidRPr="00014EF4">
              <w:rPr>
                <w:rFonts w:ascii="Times New Roman" w:hAnsi="Times New Roman" w:cs="Times New Roman"/>
              </w:rPr>
              <w:t xml:space="preserve"> (</w:t>
            </w:r>
            <w:r w:rsidR="008138BB">
              <w:rPr>
                <w:rFonts w:ascii="Times New Roman" w:hAnsi="Times New Roman" w:cs="Times New Roman"/>
              </w:rPr>
              <w:t>48</w:t>
            </w:r>
            <w:r w:rsidRPr="00014EF4">
              <w:rPr>
                <w:rFonts w:ascii="Times New Roman" w:hAnsi="Times New Roman" w:cs="Times New Roman"/>
              </w:rPr>
              <w:t>)</w:t>
            </w:r>
          </w:p>
        </w:tc>
        <w:tc>
          <w:tcPr>
            <w:tcW w:w="3117" w:type="dxa"/>
          </w:tcPr>
          <w:p w14:paraId="39CE695F" w14:textId="77777777" w:rsidR="00A67BF3" w:rsidRPr="00014EF4" w:rsidRDefault="00A67BF3" w:rsidP="00393591">
            <w:pPr>
              <w:rPr>
                <w:rFonts w:ascii="Times New Roman" w:hAnsi="Times New Roman" w:cs="Times New Roman"/>
              </w:rPr>
            </w:pPr>
          </w:p>
        </w:tc>
      </w:tr>
      <w:tr w:rsidR="00A67BF3" w:rsidRPr="00014EF4" w14:paraId="13B44ADA" w14:textId="77777777" w:rsidTr="00E45606">
        <w:tc>
          <w:tcPr>
            <w:tcW w:w="265" w:type="dxa"/>
          </w:tcPr>
          <w:p w14:paraId="168B8037" w14:textId="77777777" w:rsidR="00A67BF3" w:rsidRPr="00014EF4" w:rsidRDefault="00A67BF3" w:rsidP="00393591">
            <w:pPr>
              <w:rPr>
                <w:rFonts w:ascii="Times New Roman" w:hAnsi="Times New Roman" w:cs="Times New Roman"/>
              </w:rPr>
            </w:pPr>
          </w:p>
        </w:tc>
        <w:tc>
          <w:tcPr>
            <w:tcW w:w="3690" w:type="dxa"/>
          </w:tcPr>
          <w:p w14:paraId="00C27EF3" w14:textId="1661E973" w:rsidR="00A67BF3" w:rsidRPr="00014EF4" w:rsidRDefault="00A67BF3" w:rsidP="00393591">
            <w:pPr>
              <w:rPr>
                <w:rFonts w:ascii="Times New Roman" w:hAnsi="Times New Roman" w:cs="Times New Roman"/>
              </w:rPr>
            </w:pPr>
            <m:oMath>
              <m:r>
                <w:rPr>
                  <w:rFonts w:ascii="Cambria Math" w:eastAsia="Times New Roman" w:hAnsi="Cambria Math" w:cs="Times New Roman"/>
                </w:rPr>
                <m:t>MTT</m:t>
              </m:r>
            </m:oMath>
            <w:r w:rsidRPr="00014EF4" w:rsidDel="00E435BE">
              <w:rPr>
                <w:rFonts w:ascii="Times New Roman" w:hAnsi="Times New Roman" w:cs="Times New Roman"/>
              </w:rPr>
              <w:t xml:space="preserve"> </w:t>
            </w:r>
            <w:r w:rsidRPr="00014EF4">
              <w:rPr>
                <w:rFonts w:ascii="Times New Roman" w:hAnsi="Times New Roman" w:cs="Times New Roman"/>
              </w:rPr>
              <w:t xml:space="preserve">and </w:t>
            </w:r>
            <m:oMath>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201F1E"/>
                        </w:rPr>
                      </m:ctrlPr>
                    </m:sSubPr>
                    <m:e>
                      <m:r>
                        <w:rPr>
                          <w:rFonts w:ascii="Cambria Math" w:hAnsi="Cambria Math"/>
                          <w:color w:val="201F1E"/>
                        </w:rPr>
                        <m:t>IC</m:t>
                      </m:r>
                    </m:e>
                    <m:sub>
                      <m:r>
                        <w:rPr>
                          <w:rFonts w:ascii="Cambria Math" w:hAnsi="Cambria Math"/>
                          <w:color w:val="201F1E"/>
                        </w:rPr>
                        <m:t>50</m:t>
                      </m:r>
                    </m:sub>
                  </m:sSub>
                </m:e>
                <m:sub>
                  <m:r>
                    <w:rPr>
                      <w:rFonts w:ascii="Cambria Math" w:eastAsia="Times New Roman" w:hAnsi="Cambria Math" w:cs="Times New Roman"/>
                      <w:color w:val="000000"/>
                    </w:rPr>
                    <m:t>Platelet</m:t>
                  </m:r>
                </m:sub>
              </m:sSub>
            </m:oMath>
          </w:p>
        </w:tc>
        <w:tc>
          <w:tcPr>
            <w:tcW w:w="2278" w:type="dxa"/>
          </w:tcPr>
          <w:p w14:paraId="408CCFE6" w14:textId="193E5453" w:rsidR="00A67BF3" w:rsidRPr="00014EF4" w:rsidRDefault="00A67BF3" w:rsidP="00393591">
            <w:pPr>
              <w:rPr>
                <w:rFonts w:ascii="Times New Roman" w:hAnsi="Times New Roman" w:cs="Times New Roman"/>
              </w:rPr>
            </w:pPr>
            <w:r w:rsidRPr="00014EF4">
              <w:rPr>
                <w:rFonts w:ascii="Times New Roman" w:hAnsi="Times New Roman" w:cs="Times New Roman"/>
              </w:rPr>
              <w:t>-0.</w:t>
            </w:r>
            <w:r w:rsidR="008138BB">
              <w:rPr>
                <w:rFonts w:ascii="Times New Roman" w:hAnsi="Times New Roman" w:cs="Times New Roman"/>
              </w:rPr>
              <w:t>68</w:t>
            </w:r>
            <w:r w:rsidRPr="00014EF4">
              <w:rPr>
                <w:rFonts w:ascii="Times New Roman" w:hAnsi="Times New Roman" w:cs="Times New Roman"/>
              </w:rPr>
              <w:t xml:space="preserve"> (</w:t>
            </w:r>
            <w:r w:rsidR="008138BB">
              <w:rPr>
                <w:rFonts w:ascii="Times New Roman" w:hAnsi="Times New Roman" w:cs="Times New Roman"/>
              </w:rPr>
              <w:t>37</w:t>
            </w:r>
            <w:r w:rsidRPr="00014EF4">
              <w:rPr>
                <w:rFonts w:ascii="Times New Roman" w:hAnsi="Times New Roman" w:cs="Times New Roman"/>
              </w:rPr>
              <w:t>)</w:t>
            </w:r>
          </w:p>
        </w:tc>
        <w:tc>
          <w:tcPr>
            <w:tcW w:w="3117" w:type="dxa"/>
          </w:tcPr>
          <w:p w14:paraId="7510770E" w14:textId="77777777" w:rsidR="00A67BF3" w:rsidRPr="00014EF4" w:rsidRDefault="00A67BF3" w:rsidP="00393591">
            <w:pPr>
              <w:rPr>
                <w:rFonts w:ascii="Times New Roman" w:hAnsi="Times New Roman" w:cs="Times New Roman"/>
              </w:rPr>
            </w:pPr>
          </w:p>
        </w:tc>
      </w:tr>
    </w:tbl>
    <w:p w14:paraId="06A83CEE" w14:textId="77777777" w:rsidR="00A67BF3" w:rsidRPr="00014EF4" w:rsidRDefault="00A67BF3" w:rsidP="00393591">
      <w:pPr>
        <w:rPr>
          <w:rFonts w:ascii="Times New Roman" w:hAnsi="Times New Roman" w:cs="Times New Roman"/>
        </w:rPr>
      </w:pPr>
    </w:p>
    <w:p w14:paraId="7F361E9E" w14:textId="77777777" w:rsidR="00A67BF3" w:rsidRPr="00014EF4" w:rsidRDefault="00A67BF3" w:rsidP="00393591">
      <w:pPr>
        <w:keepNext/>
        <w:rPr>
          <w:rFonts w:ascii="Times New Roman" w:hAnsi="Times New Roman" w:cs="Times New Roman"/>
          <w:noProof/>
        </w:rPr>
      </w:pPr>
      <w:r w:rsidRPr="00014EF4">
        <w:rPr>
          <w:rFonts w:ascii="Times New Roman" w:hAnsi="Times New Roman" w:cs="Times New Roman"/>
          <w:noProof/>
        </w:rPr>
        <w:t xml:space="preserve"> </w:t>
      </w:r>
    </w:p>
    <w:p w14:paraId="5A41A163"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br w:type="page"/>
      </w:r>
    </w:p>
    <w:p w14:paraId="71FC7759" w14:textId="7132515B" w:rsidR="00423BB7" w:rsidRPr="00014EF4" w:rsidRDefault="00990105" w:rsidP="00386B99">
      <w:pPr>
        <w:pStyle w:val="Caption"/>
        <w:spacing w:after="0"/>
        <w:rPr>
          <w:rFonts w:eastAsiaTheme="minorHAnsi"/>
          <w:iCs w:val="0"/>
          <w:sz w:val="24"/>
          <w:szCs w:val="24"/>
        </w:rPr>
      </w:pPr>
      <w:r w:rsidRPr="006941F2">
        <w:rPr>
          <w:rStyle w:val="Heading2Char"/>
          <w:rFonts w:ascii="Times New Roman" w:hAnsi="Times New Roman" w:cs="Times New Roman"/>
          <w:b/>
          <w:color w:val="auto"/>
          <w:sz w:val="24"/>
          <w:szCs w:val="24"/>
        </w:rPr>
        <w:lastRenderedPageBreak/>
        <w:t>Supplemental Table 8</w:t>
      </w:r>
      <w:r w:rsidRPr="006941F2">
        <w:rPr>
          <w:rStyle w:val="Heading2Char"/>
          <w:rFonts w:ascii="Times New Roman" w:hAnsi="Times New Roman" w:cs="Times New Roman"/>
          <w:color w:val="auto"/>
          <w:sz w:val="24"/>
          <w:szCs w:val="24"/>
        </w:rPr>
        <w:t xml:space="preserve"> </w:t>
      </w:r>
      <w:r w:rsidR="00A36A45" w:rsidRPr="006941F2">
        <w:rPr>
          <w:rStyle w:val="Heading2Char"/>
          <w:rFonts w:ascii="Times New Roman" w:hAnsi="Times New Roman" w:cs="Times New Roman"/>
          <w:b/>
          <w:color w:val="auto"/>
          <w:sz w:val="24"/>
          <w:szCs w:val="24"/>
        </w:rPr>
        <w:t xml:space="preserve"> </w:t>
      </w:r>
      <w:r w:rsidR="00A36A45" w:rsidRPr="006941F2">
        <w:rPr>
          <w:rStyle w:val="Heading2Char"/>
          <w:rFonts w:ascii="Times New Roman" w:hAnsi="Times New Roman" w:cs="Times New Roman"/>
          <w:color w:val="auto"/>
          <w:sz w:val="24"/>
          <w:szCs w:val="24"/>
        </w:rPr>
        <w:t>Contingency</w:t>
      </w:r>
      <w:r w:rsidR="00A36A45" w:rsidRPr="006941F2">
        <w:rPr>
          <w:rStyle w:val="Heading2Char"/>
          <w:rFonts w:ascii="Times New Roman" w:hAnsi="Times New Roman" w:cs="Times New Roman"/>
          <w:b/>
          <w:color w:val="auto"/>
          <w:sz w:val="24"/>
          <w:szCs w:val="24"/>
        </w:rPr>
        <w:t xml:space="preserve"> </w:t>
      </w:r>
      <w:r w:rsidR="00A36A45" w:rsidRPr="00A36A45">
        <w:rPr>
          <w:rFonts w:eastAsiaTheme="minorHAnsi"/>
          <w:iCs w:val="0"/>
          <w:sz w:val="24"/>
          <w:szCs w:val="24"/>
        </w:rPr>
        <w:t>table for investigator-reported peripheral neuropathy and anemia adverse events. P-value of two-tailed Fisher’s exact test = 0.1</w:t>
      </w:r>
      <w:r w:rsidR="00A36A45">
        <w:rPr>
          <w:rFonts w:eastAsiaTheme="minorHAnsi"/>
          <w:iCs w:val="0"/>
          <w:sz w:val="24"/>
          <w:szCs w:val="24"/>
        </w:rPr>
        <w:t>.</w:t>
      </w:r>
    </w:p>
    <w:p w14:paraId="16ED12FC" w14:textId="77777777" w:rsidR="00EF0E07" w:rsidRPr="00014EF4" w:rsidRDefault="00EF0E07" w:rsidP="00393591">
      <w:pPr>
        <w:rPr>
          <w:rFonts w:ascii="Times New Roman" w:hAnsi="Times New Roman" w:cs="Times New Roman"/>
        </w:rPr>
      </w:pPr>
    </w:p>
    <w:tbl>
      <w:tblPr>
        <w:tblStyle w:val="TableGrid"/>
        <w:tblW w:w="0" w:type="auto"/>
        <w:tblInd w:w="-5" w:type="dxa"/>
        <w:tblLook w:val="04A0" w:firstRow="1" w:lastRow="0" w:firstColumn="1" w:lastColumn="0" w:noHBand="0" w:noVBand="1"/>
      </w:tblPr>
      <w:tblGrid>
        <w:gridCol w:w="2140"/>
        <w:gridCol w:w="2193"/>
        <w:gridCol w:w="2194"/>
        <w:gridCol w:w="2103"/>
      </w:tblGrid>
      <w:tr w:rsidR="00A36A45" w:rsidRPr="00A36A45" w14:paraId="2AACB672" w14:textId="77777777" w:rsidTr="006941F2">
        <w:tc>
          <w:tcPr>
            <w:tcW w:w="2140" w:type="dxa"/>
          </w:tcPr>
          <w:p w14:paraId="2F4A49FB" w14:textId="77777777" w:rsidR="00A36A45" w:rsidRPr="00A36A45" w:rsidRDefault="00A36A45" w:rsidP="00A36A45">
            <w:pPr>
              <w:rPr>
                <w:rFonts w:ascii="Times New Roman" w:hAnsi="Times New Roman" w:cs="Times New Roman"/>
              </w:rPr>
            </w:pPr>
          </w:p>
        </w:tc>
        <w:tc>
          <w:tcPr>
            <w:tcW w:w="2193" w:type="dxa"/>
          </w:tcPr>
          <w:p w14:paraId="5004E9D0" w14:textId="402F3C69" w:rsidR="00A36A45" w:rsidRPr="00A36A45" w:rsidRDefault="00A36A45" w:rsidP="00A36A45">
            <w:pPr>
              <w:rPr>
                <w:rFonts w:ascii="Times New Roman" w:hAnsi="Times New Roman" w:cs="Times New Roman"/>
              </w:rPr>
            </w:pPr>
            <w:r w:rsidRPr="00A36A45">
              <w:rPr>
                <w:rFonts w:ascii="Times New Roman" w:hAnsi="Times New Roman" w:cs="Times New Roman"/>
              </w:rPr>
              <w:t xml:space="preserve">No </w:t>
            </w:r>
            <w:r>
              <w:rPr>
                <w:rFonts w:ascii="Times New Roman" w:hAnsi="Times New Roman" w:cs="Times New Roman"/>
              </w:rPr>
              <w:t>n</w:t>
            </w:r>
            <w:r w:rsidRPr="00A36A45">
              <w:rPr>
                <w:rFonts w:ascii="Times New Roman" w:hAnsi="Times New Roman" w:cs="Times New Roman"/>
              </w:rPr>
              <w:t xml:space="preserve">europathy adverse event </w:t>
            </w:r>
          </w:p>
        </w:tc>
        <w:tc>
          <w:tcPr>
            <w:tcW w:w="2194" w:type="dxa"/>
          </w:tcPr>
          <w:p w14:paraId="678AC347"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 xml:space="preserve">Neuropathy adverse event </w:t>
            </w:r>
          </w:p>
        </w:tc>
        <w:tc>
          <w:tcPr>
            <w:tcW w:w="2103" w:type="dxa"/>
          </w:tcPr>
          <w:p w14:paraId="51725827"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Total</w:t>
            </w:r>
          </w:p>
        </w:tc>
      </w:tr>
      <w:tr w:rsidR="00A36A45" w:rsidRPr="00A36A45" w14:paraId="2DBA3367" w14:textId="77777777" w:rsidTr="006941F2">
        <w:tc>
          <w:tcPr>
            <w:tcW w:w="2140" w:type="dxa"/>
          </w:tcPr>
          <w:p w14:paraId="3EE00AEE"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 xml:space="preserve">No anemia adverse event </w:t>
            </w:r>
          </w:p>
        </w:tc>
        <w:tc>
          <w:tcPr>
            <w:tcW w:w="2193" w:type="dxa"/>
          </w:tcPr>
          <w:p w14:paraId="34102C4C"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12</w:t>
            </w:r>
          </w:p>
        </w:tc>
        <w:tc>
          <w:tcPr>
            <w:tcW w:w="2194" w:type="dxa"/>
          </w:tcPr>
          <w:p w14:paraId="6B801F4C"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54</w:t>
            </w:r>
          </w:p>
        </w:tc>
        <w:tc>
          <w:tcPr>
            <w:tcW w:w="2103" w:type="dxa"/>
          </w:tcPr>
          <w:p w14:paraId="2D3D8F96"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66</w:t>
            </w:r>
          </w:p>
        </w:tc>
      </w:tr>
      <w:tr w:rsidR="00A36A45" w:rsidRPr="00A36A45" w14:paraId="55B6E595" w14:textId="77777777" w:rsidTr="006941F2">
        <w:tc>
          <w:tcPr>
            <w:tcW w:w="2140" w:type="dxa"/>
          </w:tcPr>
          <w:p w14:paraId="5B52BBF3"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 xml:space="preserve">Anemia adverse event </w:t>
            </w:r>
          </w:p>
        </w:tc>
        <w:tc>
          <w:tcPr>
            <w:tcW w:w="2193" w:type="dxa"/>
          </w:tcPr>
          <w:p w14:paraId="100148B3"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12</w:t>
            </w:r>
          </w:p>
        </w:tc>
        <w:tc>
          <w:tcPr>
            <w:tcW w:w="2194" w:type="dxa"/>
          </w:tcPr>
          <w:p w14:paraId="1C4EB254"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26</w:t>
            </w:r>
          </w:p>
        </w:tc>
        <w:tc>
          <w:tcPr>
            <w:tcW w:w="2103" w:type="dxa"/>
          </w:tcPr>
          <w:p w14:paraId="121BF5F1"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38</w:t>
            </w:r>
          </w:p>
        </w:tc>
      </w:tr>
      <w:tr w:rsidR="00A36A45" w:rsidRPr="00A36A45" w14:paraId="51DDC011" w14:textId="77777777" w:rsidTr="006941F2">
        <w:tc>
          <w:tcPr>
            <w:tcW w:w="2140" w:type="dxa"/>
          </w:tcPr>
          <w:p w14:paraId="64926675"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Total</w:t>
            </w:r>
          </w:p>
        </w:tc>
        <w:tc>
          <w:tcPr>
            <w:tcW w:w="2193" w:type="dxa"/>
          </w:tcPr>
          <w:p w14:paraId="5F7194D5"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24</w:t>
            </w:r>
          </w:p>
        </w:tc>
        <w:tc>
          <w:tcPr>
            <w:tcW w:w="2194" w:type="dxa"/>
          </w:tcPr>
          <w:p w14:paraId="236792A9"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80</w:t>
            </w:r>
          </w:p>
        </w:tc>
        <w:tc>
          <w:tcPr>
            <w:tcW w:w="2103" w:type="dxa"/>
          </w:tcPr>
          <w:p w14:paraId="57722AB8" w14:textId="77777777" w:rsidR="00A36A45" w:rsidRPr="00A36A45" w:rsidRDefault="00A36A45" w:rsidP="00A36A45">
            <w:pPr>
              <w:rPr>
                <w:rFonts w:ascii="Times New Roman" w:hAnsi="Times New Roman" w:cs="Times New Roman"/>
              </w:rPr>
            </w:pPr>
            <w:r w:rsidRPr="00A36A45">
              <w:rPr>
                <w:rFonts w:ascii="Times New Roman" w:hAnsi="Times New Roman" w:cs="Times New Roman"/>
              </w:rPr>
              <w:t>104</w:t>
            </w:r>
          </w:p>
        </w:tc>
      </w:tr>
    </w:tbl>
    <w:p w14:paraId="1FE8D59C" w14:textId="44B34F35" w:rsidR="00423BB7" w:rsidRPr="00014EF4" w:rsidRDefault="00423BB7" w:rsidP="00393591">
      <w:pPr>
        <w:rPr>
          <w:rFonts w:ascii="Times New Roman" w:hAnsi="Times New Roman" w:cs="Times New Roman"/>
        </w:rPr>
      </w:pPr>
      <w:r w:rsidRPr="00014EF4">
        <w:rPr>
          <w:rFonts w:ascii="Times New Roman" w:hAnsi="Times New Roman" w:cs="Times New Roman"/>
        </w:rPr>
        <w:br w:type="page"/>
      </w:r>
    </w:p>
    <w:p w14:paraId="5CC89EA1" w14:textId="58B5A2F7" w:rsidR="00A67BF3" w:rsidRPr="00014EF4" w:rsidRDefault="00990105" w:rsidP="00393591">
      <w:pPr>
        <w:rPr>
          <w:rFonts w:ascii="Times New Roman" w:hAnsi="Times New Roman" w:cs="Times New Roman"/>
        </w:rPr>
      </w:pPr>
      <w:r w:rsidRPr="006941F2">
        <w:rPr>
          <w:rStyle w:val="Heading2Char"/>
          <w:rFonts w:ascii="Times New Roman" w:hAnsi="Times New Roman" w:cs="Times New Roman"/>
          <w:b/>
          <w:iCs/>
          <w:color w:val="auto"/>
          <w:sz w:val="24"/>
          <w:szCs w:val="24"/>
        </w:rPr>
        <w:lastRenderedPageBreak/>
        <w:t>Supplemental Table 9</w:t>
      </w:r>
      <w:r>
        <w:rPr>
          <w:rFonts w:ascii="Times New Roman" w:hAnsi="Times New Roman" w:cs="Times New Roman"/>
          <w:b/>
        </w:rPr>
        <w:t xml:space="preserve"> </w:t>
      </w:r>
      <w:r w:rsidR="00A26259" w:rsidRPr="00014EF4">
        <w:rPr>
          <w:rFonts w:ascii="Times New Roman" w:hAnsi="Times New Roman" w:cs="Times New Roman"/>
        </w:rPr>
        <w:t>Predictive check comparing o</w:t>
      </w:r>
      <w:r w:rsidR="00A67BF3" w:rsidRPr="00014EF4">
        <w:rPr>
          <w:rFonts w:ascii="Times New Roman" w:hAnsi="Times New Roman" w:cs="Times New Roman"/>
        </w:rPr>
        <w:t>bserved and model</w:t>
      </w:r>
      <w:r w:rsidR="00A26259" w:rsidRPr="00014EF4">
        <w:rPr>
          <w:rFonts w:ascii="Times New Roman" w:hAnsi="Times New Roman" w:cs="Times New Roman"/>
        </w:rPr>
        <w:t>-</w:t>
      </w:r>
      <w:r w:rsidR="00A67BF3" w:rsidRPr="00014EF4">
        <w:rPr>
          <w:rFonts w:ascii="Times New Roman" w:hAnsi="Times New Roman" w:cs="Times New Roman"/>
        </w:rPr>
        <w:t xml:space="preserve">simulated </w:t>
      </w:r>
      <w:r w:rsidR="00A26259" w:rsidRPr="00014EF4">
        <w:rPr>
          <w:rFonts w:ascii="Times New Roman" w:hAnsi="Times New Roman" w:cs="Times New Roman"/>
        </w:rPr>
        <w:t>percentages</w:t>
      </w:r>
      <w:r w:rsidR="00A67BF3" w:rsidRPr="00014EF4">
        <w:rPr>
          <w:rFonts w:ascii="Times New Roman" w:hAnsi="Times New Roman" w:cs="Times New Roman"/>
        </w:rPr>
        <w:t xml:space="preserve"> of peripheral neuropathy </w:t>
      </w:r>
      <w:r w:rsidR="00A26259" w:rsidRPr="00014EF4">
        <w:rPr>
          <w:rFonts w:ascii="Times New Roman" w:hAnsi="Times New Roman" w:cs="Times New Roman"/>
        </w:rPr>
        <w:t>scores</w:t>
      </w:r>
      <w:r w:rsidR="00A67BF3" w:rsidRPr="00014EF4">
        <w:rPr>
          <w:rFonts w:ascii="Times New Roman" w:hAnsi="Times New Roman" w:cs="Times New Roman"/>
        </w:rPr>
        <w:t>.</w:t>
      </w:r>
      <w:r w:rsidR="00A26259" w:rsidRPr="00014EF4">
        <w:rPr>
          <w:rFonts w:ascii="Times New Roman" w:hAnsi="Times New Roman" w:cs="Times New Roman"/>
        </w:rPr>
        <w:t xml:space="preserve"> Dosing </w:t>
      </w:r>
      <w:r w:rsidR="00E715BA" w:rsidRPr="00014EF4">
        <w:rPr>
          <w:rFonts w:ascii="Times New Roman" w:hAnsi="Times New Roman" w:cs="Times New Roman"/>
        </w:rPr>
        <w:t>histories</w:t>
      </w:r>
      <w:r w:rsidR="00A26259" w:rsidRPr="00014EF4">
        <w:rPr>
          <w:rFonts w:ascii="Times New Roman" w:hAnsi="Times New Roman" w:cs="Times New Roman"/>
        </w:rPr>
        <w:t xml:space="preserve"> taken into account for model simulations. </w:t>
      </w:r>
      <w:r w:rsidR="00A67BF3" w:rsidRPr="00014EF4">
        <w:rPr>
          <w:rFonts w:ascii="Times New Roman" w:hAnsi="Times New Roman" w:cs="Times New Roman"/>
        </w:rPr>
        <w:t xml:space="preserve"> Simulations show median and 95% prediction interval</w:t>
      </w:r>
      <w:r w:rsidR="00A26259" w:rsidRPr="00014EF4">
        <w:rPr>
          <w:rFonts w:ascii="Times New Roman" w:hAnsi="Times New Roman" w:cs="Times New Roman"/>
        </w:rPr>
        <w:t xml:space="preserve"> (PI)</w:t>
      </w:r>
      <w:r w:rsidR="00A67BF3" w:rsidRPr="00014EF4">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605"/>
        <w:gridCol w:w="2069"/>
        <w:gridCol w:w="2071"/>
        <w:gridCol w:w="2605"/>
      </w:tblGrid>
      <w:tr w:rsidR="00A67BF3" w:rsidRPr="00014EF4" w14:paraId="6F65F255" w14:textId="77777777" w:rsidTr="00E715BA">
        <w:tc>
          <w:tcPr>
            <w:tcW w:w="2605" w:type="dxa"/>
          </w:tcPr>
          <w:p w14:paraId="177A6CB1" w14:textId="41E628D5" w:rsidR="00A67BF3" w:rsidRPr="00014EF4" w:rsidRDefault="00A67BF3" w:rsidP="00386B99">
            <w:pPr>
              <w:rPr>
                <w:rFonts w:ascii="Times New Roman" w:hAnsi="Times New Roman" w:cs="Times New Roman"/>
                <w:b/>
                <w:color w:val="000000" w:themeColor="text1"/>
              </w:rPr>
            </w:pPr>
            <w:r w:rsidRPr="00014EF4">
              <w:rPr>
                <w:rFonts w:ascii="Times New Roman" w:hAnsi="Times New Roman" w:cs="Times New Roman"/>
                <w:b/>
                <w:color w:val="000000" w:themeColor="text1"/>
              </w:rPr>
              <w:t xml:space="preserve">Time </w:t>
            </w:r>
            <w:r w:rsidR="00E715BA" w:rsidRPr="00014EF4">
              <w:rPr>
                <w:rFonts w:ascii="Times New Roman" w:hAnsi="Times New Roman" w:cs="Times New Roman"/>
                <w:b/>
                <w:color w:val="000000" w:themeColor="text1"/>
              </w:rPr>
              <w:t xml:space="preserve">after treatment initiation </w:t>
            </w:r>
            <w:r w:rsidRPr="00014EF4">
              <w:rPr>
                <w:rFonts w:ascii="Times New Roman" w:hAnsi="Times New Roman" w:cs="Times New Roman"/>
                <w:b/>
                <w:color w:val="000000" w:themeColor="text1"/>
              </w:rPr>
              <w:t>(months)</w:t>
            </w:r>
          </w:p>
        </w:tc>
        <w:tc>
          <w:tcPr>
            <w:tcW w:w="2069" w:type="dxa"/>
          </w:tcPr>
          <w:p w14:paraId="4EA892D9" w14:textId="77777777" w:rsidR="00A67BF3" w:rsidRPr="00014EF4" w:rsidRDefault="00A67BF3" w:rsidP="00386B99">
            <w:pPr>
              <w:rPr>
                <w:rFonts w:ascii="Times New Roman" w:hAnsi="Times New Roman" w:cs="Times New Roman"/>
                <w:b/>
                <w:color w:val="000000" w:themeColor="text1"/>
              </w:rPr>
            </w:pPr>
            <w:r w:rsidRPr="00014EF4">
              <w:rPr>
                <w:rFonts w:ascii="Times New Roman" w:hAnsi="Times New Roman" w:cs="Times New Roman"/>
                <w:b/>
                <w:color w:val="000000" w:themeColor="text1"/>
              </w:rPr>
              <w:t>Score</w:t>
            </w:r>
          </w:p>
        </w:tc>
        <w:tc>
          <w:tcPr>
            <w:tcW w:w="2071" w:type="dxa"/>
          </w:tcPr>
          <w:p w14:paraId="341672CA" w14:textId="6E1F5155" w:rsidR="00A67BF3" w:rsidRPr="00014EF4" w:rsidRDefault="00A67BF3" w:rsidP="00386B99">
            <w:pPr>
              <w:rPr>
                <w:rFonts w:ascii="Times New Roman" w:hAnsi="Times New Roman" w:cs="Times New Roman"/>
                <w:b/>
                <w:color w:val="000000" w:themeColor="text1"/>
              </w:rPr>
            </w:pPr>
            <w:r w:rsidRPr="00014EF4">
              <w:rPr>
                <w:rFonts w:ascii="Times New Roman" w:hAnsi="Times New Roman" w:cs="Times New Roman"/>
                <w:b/>
                <w:color w:val="000000" w:themeColor="text1"/>
              </w:rPr>
              <w:t xml:space="preserve">Observed </w:t>
            </w:r>
            <w:r w:rsidR="00E715BA" w:rsidRPr="00014EF4">
              <w:rPr>
                <w:rFonts w:ascii="Times New Roman" w:hAnsi="Times New Roman" w:cs="Times New Roman"/>
                <w:b/>
                <w:color w:val="000000" w:themeColor="text1"/>
              </w:rPr>
              <w:t>Percentage</w:t>
            </w:r>
            <w:r w:rsidRPr="00014EF4">
              <w:rPr>
                <w:rFonts w:ascii="Times New Roman" w:hAnsi="Times New Roman" w:cs="Times New Roman"/>
                <w:b/>
                <w:color w:val="000000" w:themeColor="text1"/>
              </w:rPr>
              <w:t xml:space="preserve"> </w:t>
            </w:r>
          </w:p>
        </w:tc>
        <w:tc>
          <w:tcPr>
            <w:tcW w:w="2605" w:type="dxa"/>
          </w:tcPr>
          <w:p w14:paraId="5C3E6EB2" w14:textId="5E10BADF" w:rsidR="00A67BF3" w:rsidRPr="00014EF4" w:rsidRDefault="00A67BF3" w:rsidP="00386B99">
            <w:pPr>
              <w:rPr>
                <w:rFonts w:ascii="Times New Roman" w:hAnsi="Times New Roman" w:cs="Times New Roman"/>
                <w:b/>
                <w:color w:val="000000" w:themeColor="text1"/>
              </w:rPr>
            </w:pPr>
            <w:r w:rsidRPr="00014EF4">
              <w:rPr>
                <w:rFonts w:ascii="Times New Roman" w:hAnsi="Times New Roman" w:cs="Times New Roman"/>
                <w:b/>
                <w:color w:val="000000" w:themeColor="text1"/>
              </w:rPr>
              <w:t xml:space="preserve">Simulated </w:t>
            </w:r>
            <w:r w:rsidR="00E715BA" w:rsidRPr="00014EF4">
              <w:rPr>
                <w:rFonts w:ascii="Times New Roman" w:hAnsi="Times New Roman" w:cs="Times New Roman"/>
                <w:b/>
                <w:color w:val="000000" w:themeColor="text1"/>
              </w:rPr>
              <w:t>Percentage</w:t>
            </w:r>
            <w:r w:rsidRPr="00014EF4">
              <w:rPr>
                <w:rFonts w:ascii="Times New Roman" w:hAnsi="Times New Roman" w:cs="Times New Roman"/>
                <w:b/>
                <w:color w:val="000000" w:themeColor="text1"/>
              </w:rPr>
              <w:t xml:space="preserve"> </w:t>
            </w:r>
          </w:p>
          <w:p w14:paraId="62298F29" w14:textId="77777777" w:rsidR="00A67BF3" w:rsidRPr="00014EF4" w:rsidRDefault="00A67BF3" w:rsidP="00386B99">
            <w:pPr>
              <w:rPr>
                <w:rFonts w:ascii="Times New Roman" w:hAnsi="Times New Roman" w:cs="Times New Roman"/>
                <w:b/>
                <w:color w:val="000000" w:themeColor="text1"/>
              </w:rPr>
            </w:pPr>
            <w:r w:rsidRPr="00014EF4">
              <w:rPr>
                <w:rFonts w:ascii="Times New Roman" w:hAnsi="Times New Roman" w:cs="Times New Roman"/>
                <w:b/>
                <w:color w:val="000000" w:themeColor="text1"/>
              </w:rPr>
              <w:t>[Median (95% PI)]</w:t>
            </w:r>
          </w:p>
        </w:tc>
      </w:tr>
      <w:tr w:rsidR="00A67BF3" w:rsidRPr="00014EF4" w14:paraId="2FD587B6" w14:textId="77777777" w:rsidTr="00E715BA">
        <w:tc>
          <w:tcPr>
            <w:tcW w:w="2605" w:type="dxa"/>
          </w:tcPr>
          <w:p w14:paraId="350E89EF" w14:textId="77777777" w:rsidR="00A67BF3" w:rsidRPr="00014EF4" w:rsidRDefault="00A67BF3"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0</w:t>
            </w:r>
          </w:p>
        </w:tc>
        <w:tc>
          <w:tcPr>
            <w:tcW w:w="2069" w:type="dxa"/>
          </w:tcPr>
          <w:p w14:paraId="09CE74C3" w14:textId="26F6CFE8"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Normal</w:t>
            </w:r>
          </w:p>
        </w:tc>
        <w:tc>
          <w:tcPr>
            <w:tcW w:w="2071" w:type="dxa"/>
          </w:tcPr>
          <w:p w14:paraId="506215A3" w14:textId="1A2756EA"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76</w:t>
            </w:r>
          </w:p>
        </w:tc>
        <w:tc>
          <w:tcPr>
            <w:tcW w:w="2605" w:type="dxa"/>
          </w:tcPr>
          <w:p w14:paraId="5DE4DBEA" w14:textId="4AB9B1F1"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7</w:t>
            </w:r>
            <w:r w:rsidR="00D271A3">
              <w:rPr>
                <w:rFonts w:ascii="Times New Roman" w:hAnsi="Times New Roman" w:cs="Times New Roman"/>
                <w:color w:val="000000" w:themeColor="text1"/>
              </w:rPr>
              <w:t>6</w:t>
            </w:r>
            <w:r w:rsidRPr="00014EF4">
              <w:rPr>
                <w:rFonts w:ascii="Times New Roman" w:hAnsi="Times New Roman" w:cs="Times New Roman"/>
                <w:color w:val="000000" w:themeColor="text1"/>
              </w:rPr>
              <w:t xml:space="preserve"> (69-8</w:t>
            </w:r>
            <w:r w:rsidR="00D271A3">
              <w:rPr>
                <w:rFonts w:ascii="Times New Roman" w:hAnsi="Times New Roman" w:cs="Times New Roman"/>
                <w:color w:val="000000" w:themeColor="text1"/>
              </w:rPr>
              <w:t>5</w:t>
            </w:r>
            <w:r w:rsidRPr="00014EF4">
              <w:rPr>
                <w:rFonts w:ascii="Times New Roman" w:hAnsi="Times New Roman" w:cs="Times New Roman"/>
                <w:color w:val="000000" w:themeColor="text1"/>
              </w:rPr>
              <w:t>)</w:t>
            </w:r>
          </w:p>
        </w:tc>
      </w:tr>
      <w:tr w:rsidR="00A67BF3" w:rsidRPr="00014EF4" w14:paraId="27DD7898" w14:textId="77777777" w:rsidTr="00E715BA">
        <w:tc>
          <w:tcPr>
            <w:tcW w:w="2605" w:type="dxa"/>
          </w:tcPr>
          <w:p w14:paraId="2DC41394" w14:textId="77777777" w:rsidR="00A67BF3" w:rsidRPr="00014EF4" w:rsidRDefault="00A67BF3"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0</w:t>
            </w:r>
          </w:p>
        </w:tc>
        <w:tc>
          <w:tcPr>
            <w:tcW w:w="2069" w:type="dxa"/>
          </w:tcPr>
          <w:p w14:paraId="562FF306" w14:textId="6A24DDC1"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Minimal</w:t>
            </w:r>
          </w:p>
        </w:tc>
        <w:tc>
          <w:tcPr>
            <w:tcW w:w="2071" w:type="dxa"/>
          </w:tcPr>
          <w:p w14:paraId="088B1A5B" w14:textId="53A995E9"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10</w:t>
            </w:r>
          </w:p>
        </w:tc>
        <w:tc>
          <w:tcPr>
            <w:tcW w:w="2605" w:type="dxa"/>
          </w:tcPr>
          <w:p w14:paraId="5B7EBB1F" w14:textId="14A0AFA3"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D271A3">
              <w:rPr>
                <w:rFonts w:ascii="Times New Roman" w:hAnsi="Times New Roman" w:cs="Times New Roman"/>
                <w:color w:val="000000" w:themeColor="text1"/>
              </w:rPr>
              <w:t>2</w:t>
            </w:r>
            <w:r w:rsidRPr="00014EF4">
              <w:rPr>
                <w:rFonts w:ascii="Times New Roman" w:hAnsi="Times New Roman" w:cs="Times New Roman"/>
                <w:color w:val="000000" w:themeColor="text1"/>
              </w:rPr>
              <w:t xml:space="preserve"> (6-1</w:t>
            </w:r>
            <w:r w:rsidR="00D271A3">
              <w:rPr>
                <w:rFonts w:ascii="Times New Roman" w:hAnsi="Times New Roman" w:cs="Times New Roman"/>
                <w:color w:val="000000" w:themeColor="text1"/>
              </w:rPr>
              <w:t>7</w:t>
            </w:r>
            <w:r w:rsidRPr="00014EF4">
              <w:rPr>
                <w:rFonts w:ascii="Times New Roman" w:hAnsi="Times New Roman" w:cs="Times New Roman"/>
                <w:color w:val="000000" w:themeColor="text1"/>
              </w:rPr>
              <w:t>)</w:t>
            </w:r>
          </w:p>
        </w:tc>
      </w:tr>
      <w:tr w:rsidR="00A67BF3" w:rsidRPr="00014EF4" w14:paraId="5814FBDE" w14:textId="77777777" w:rsidTr="00E715BA">
        <w:tc>
          <w:tcPr>
            <w:tcW w:w="2605" w:type="dxa"/>
          </w:tcPr>
          <w:p w14:paraId="76681B02" w14:textId="77777777" w:rsidR="00A67BF3" w:rsidRPr="00014EF4" w:rsidRDefault="00A67BF3"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0</w:t>
            </w:r>
          </w:p>
        </w:tc>
        <w:tc>
          <w:tcPr>
            <w:tcW w:w="2069" w:type="dxa"/>
          </w:tcPr>
          <w:p w14:paraId="12E119FC" w14:textId="7759CD0E"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Modest</w:t>
            </w:r>
          </w:p>
        </w:tc>
        <w:tc>
          <w:tcPr>
            <w:tcW w:w="2071" w:type="dxa"/>
          </w:tcPr>
          <w:p w14:paraId="60AE8E92" w14:textId="2336BB03"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13</w:t>
            </w:r>
          </w:p>
        </w:tc>
        <w:tc>
          <w:tcPr>
            <w:tcW w:w="2605" w:type="dxa"/>
          </w:tcPr>
          <w:p w14:paraId="23A04F75" w14:textId="62F92E58" w:rsidR="00A67BF3" w:rsidRPr="00014EF4" w:rsidRDefault="00D271A3" w:rsidP="00386B99">
            <w:pPr>
              <w:rPr>
                <w:rFonts w:ascii="Times New Roman" w:hAnsi="Times New Roman" w:cs="Times New Roman"/>
                <w:color w:val="000000" w:themeColor="text1"/>
              </w:rPr>
            </w:pPr>
            <w:r>
              <w:rPr>
                <w:rFonts w:ascii="Times New Roman" w:hAnsi="Times New Roman" w:cs="Times New Roman"/>
                <w:color w:val="000000" w:themeColor="text1"/>
              </w:rPr>
              <w:t>9</w:t>
            </w:r>
            <w:r w:rsidR="00A67BF3" w:rsidRPr="00014EF4">
              <w:rPr>
                <w:rFonts w:ascii="Times New Roman" w:hAnsi="Times New Roman" w:cs="Times New Roman"/>
                <w:color w:val="000000" w:themeColor="text1"/>
              </w:rPr>
              <w:t xml:space="preserve"> (4-1</w:t>
            </w:r>
            <w:r>
              <w:rPr>
                <w:rFonts w:ascii="Times New Roman" w:hAnsi="Times New Roman" w:cs="Times New Roman"/>
                <w:color w:val="000000" w:themeColor="text1"/>
              </w:rPr>
              <w:t>4</w:t>
            </w:r>
            <w:r w:rsidR="00A67BF3" w:rsidRPr="00014EF4">
              <w:rPr>
                <w:rFonts w:ascii="Times New Roman" w:hAnsi="Times New Roman" w:cs="Times New Roman"/>
                <w:color w:val="000000" w:themeColor="text1"/>
              </w:rPr>
              <w:t>)</w:t>
            </w:r>
          </w:p>
        </w:tc>
      </w:tr>
      <w:tr w:rsidR="00A67BF3" w:rsidRPr="00014EF4" w14:paraId="168C7B49" w14:textId="77777777" w:rsidTr="00E715BA">
        <w:tc>
          <w:tcPr>
            <w:tcW w:w="2605" w:type="dxa"/>
          </w:tcPr>
          <w:p w14:paraId="380F4E9D" w14:textId="77777777" w:rsidR="00A67BF3" w:rsidRPr="00014EF4" w:rsidRDefault="00A67BF3"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0</w:t>
            </w:r>
          </w:p>
        </w:tc>
        <w:tc>
          <w:tcPr>
            <w:tcW w:w="2069" w:type="dxa"/>
          </w:tcPr>
          <w:p w14:paraId="3E47A424" w14:textId="6AF85008"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Severe</w:t>
            </w:r>
          </w:p>
        </w:tc>
        <w:tc>
          <w:tcPr>
            <w:tcW w:w="2071" w:type="dxa"/>
          </w:tcPr>
          <w:p w14:paraId="5D70E160" w14:textId="7AC750D9" w:rsidR="00A67BF3" w:rsidRPr="00014EF4" w:rsidRDefault="00A67BF3"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w:t>
            </w:r>
          </w:p>
        </w:tc>
        <w:tc>
          <w:tcPr>
            <w:tcW w:w="2605" w:type="dxa"/>
          </w:tcPr>
          <w:p w14:paraId="4E831A15" w14:textId="01F7D985" w:rsidR="00A67BF3" w:rsidRPr="00014EF4" w:rsidRDefault="0062567F"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2</w:t>
            </w:r>
            <w:r w:rsidR="00A67BF3" w:rsidRPr="00014EF4">
              <w:rPr>
                <w:rFonts w:ascii="Times New Roman" w:hAnsi="Times New Roman" w:cs="Times New Roman"/>
                <w:color w:val="000000" w:themeColor="text1"/>
              </w:rPr>
              <w:t xml:space="preserve"> (0-6)</w:t>
            </w:r>
          </w:p>
        </w:tc>
      </w:tr>
      <w:tr w:rsidR="00E715BA" w:rsidRPr="00014EF4" w14:paraId="04995DD9" w14:textId="77777777" w:rsidTr="00E715BA">
        <w:tc>
          <w:tcPr>
            <w:tcW w:w="2605" w:type="dxa"/>
            <w:shd w:val="clear" w:color="auto" w:fill="E7E6E6" w:themeFill="background2"/>
          </w:tcPr>
          <w:p w14:paraId="26626953"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p>
        </w:tc>
        <w:tc>
          <w:tcPr>
            <w:tcW w:w="2069" w:type="dxa"/>
            <w:shd w:val="clear" w:color="auto" w:fill="E7E6E6" w:themeFill="background2"/>
          </w:tcPr>
          <w:p w14:paraId="286F6BC5" w14:textId="53745B83"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Normal</w:t>
            </w:r>
          </w:p>
        </w:tc>
        <w:tc>
          <w:tcPr>
            <w:tcW w:w="2071" w:type="dxa"/>
            <w:shd w:val="clear" w:color="auto" w:fill="E7E6E6" w:themeFill="background2"/>
          </w:tcPr>
          <w:p w14:paraId="55863D81" w14:textId="7573B396"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58</w:t>
            </w:r>
          </w:p>
        </w:tc>
        <w:tc>
          <w:tcPr>
            <w:tcW w:w="2605" w:type="dxa"/>
            <w:shd w:val="clear" w:color="auto" w:fill="E7E6E6" w:themeFill="background2"/>
          </w:tcPr>
          <w:p w14:paraId="19F26F02" w14:textId="5307920A"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56 (4</w:t>
            </w:r>
            <w:r w:rsidR="00CB112A">
              <w:rPr>
                <w:rFonts w:ascii="Times New Roman" w:hAnsi="Times New Roman" w:cs="Times New Roman"/>
                <w:color w:val="000000" w:themeColor="text1"/>
              </w:rPr>
              <w:t>7</w:t>
            </w:r>
            <w:r w:rsidRPr="00014EF4">
              <w:rPr>
                <w:rFonts w:ascii="Times New Roman" w:hAnsi="Times New Roman" w:cs="Times New Roman"/>
                <w:color w:val="000000" w:themeColor="text1"/>
              </w:rPr>
              <w:t>-6</w:t>
            </w:r>
            <w:r w:rsidR="00CB112A">
              <w:rPr>
                <w:rFonts w:ascii="Times New Roman" w:hAnsi="Times New Roman" w:cs="Times New Roman"/>
                <w:color w:val="000000" w:themeColor="text1"/>
              </w:rPr>
              <w:t>5</w:t>
            </w:r>
            <w:r w:rsidRPr="00014EF4">
              <w:rPr>
                <w:rFonts w:ascii="Times New Roman" w:hAnsi="Times New Roman" w:cs="Times New Roman"/>
                <w:color w:val="000000" w:themeColor="text1"/>
              </w:rPr>
              <w:t>)</w:t>
            </w:r>
          </w:p>
        </w:tc>
      </w:tr>
      <w:tr w:rsidR="00E715BA" w:rsidRPr="00014EF4" w14:paraId="227948DD" w14:textId="77777777" w:rsidTr="00E715BA">
        <w:tc>
          <w:tcPr>
            <w:tcW w:w="2605" w:type="dxa"/>
            <w:shd w:val="clear" w:color="auto" w:fill="E7E6E6" w:themeFill="background2"/>
          </w:tcPr>
          <w:p w14:paraId="0AB1F134"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p>
        </w:tc>
        <w:tc>
          <w:tcPr>
            <w:tcW w:w="2069" w:type="dxa"/>
            <w:shd w:val="clear" w:color="auto" w:fill="E7E6E6" w:themeFill="background2"/>
          </w:tcPr>
          <w:p w14:paraId="677F012D" w14:textId="1E5405FE"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Minimal</w:t>
            </w:r>
          </w:p>
        </w:tc>
        <w:tc>
          <w:tcPr>
            <w:tcW w:w="2071" w:type="dxa"/>
            <w:shd w:val="clear" w:color="auto" w:fill="E7E6E6" w:themeFill="background2"/>
          </w:tcPr>
          <w:p w14:paraId="0E5CF869" w14:textId="6B61B89E"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18</w:t>
            </w:r>
          </w:p>
        </w:tc>
        <w:tc>
          <w:tcPr>
            <w:tcW w:w="2605" w:type="dxa"/>
            <w:shd w:val="clear" w:color="auto" w:fill="E7E6E6" w:themeFill="background2"/>
          </w:tcPr>
          <w:p w14:paraId="1FB29E8D" w14:textId="647A5FB9"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16 (</w:t>
            </w:r>
            <w:r w:rsidR="00CB112A">
              <w:rPr>
                <w:rFonts w:ascii="Times New Roman" w:hAnsi="Times New Roman" w:cs="Times New Roman"/>
                <w:color w:val="000000" w:themeColor="text1"/>
              </w:rPr>
              <w:t>10</w:t>
            </w:r>
            <w:r w:rsidRPr="00014EF4">
              <w:rPr>
                <w:rFonts w:ascii="Times New Roman" w:hAnsi="Times New Roman" w:cs="Times New Roman"/>
                <w:color w:val="000000" w:themeColor="text1"/>
              </w:rPr>
              <w:t>-2</w:t>
            </w:r>
            <w:r w:rsidR="0062567F" w:rsidRPr="00014EF4">
              <w:rPr>
                <w:rFonts w:ascii="Times New Roman" w:hAnsi="Times New Roman" w:cs="Times New Roman"/>
                <w:color w:val="000000" w:themeColor="text1"/>
              </w:rPr>
              <w:t>4</w:t>
            </w:r>
            <w:r w:rsidRPr="00014EF4">
              <w:rPr>
                <w:rFonts w:ascii="Times New Roman" w:hAnsi="Times New Roman" w:cs="Times New Roman"/>
                <w:color w:val="000000" w:themeColor="text1"/>
              </w:rPr>
              <w:t>)</w:t>
            </w:r>
          </w:p>
        </w:tc>
      </w:tr>
      <w:tr w:rsidR="00E715BA" w:rsidRPr="00014EF4" w14:paraId="1ADC260A" w14:textId="77777777" w:rsidTr="00E715BA">
        <w:tc>
          <w:tcPr>
            <w:tcW w:w="2605" w:type="dxa"/>
            <w:shd w:val="clear" w:color="auto" w:fill="E7E6E6" w:themeFill="background2"/>
          </w:tcPr>
          <w:p w14:paraId="21ECFE42"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p>
        </w:tc>
        <w:tc>
          <w:tcPr>
            <w:tcW w:w="2069" w:type="dxa"/>
            <w:shd w:val="clear" w:color="auto" w:fill="E7E6E6" w:themeFill="background2"/>
          </w:tcPr>
          <w:p w14:paraId="1BE2F7C1" w14:textId="1A7FC10B"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Modest</w:t>
            </w:r>
          </w:p>
        </w:tc>
        <w:tc>
          <w:tcPr>
            <w:tcW w:w="2071" w:type="dxa"/>
            <w:shd w:val="clear" w:color="auto" w:fill="E7E6E6" w:themeFill="background2"/>
          </w:tcPr>
          <w:p w14:paraId="6D476F6B" w14:textId="242F4848"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18</w:t>
            </w:r>
          </w:p>
        </w:tc>
        <w:tc>
          <w:tcPr>
            <w:tcW w:w="2605" w:type="dxa"/>
            <w:shd w:val="clear" w:color="auto" w:fill="E7E6E6" w:themeFill="background2"/>
          </w:tcPr>
          <w:p w14:paraId="688A4093" w14:textId="6E1B0AD3"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CB112A">
              <w:rPr>
                <w:rFonts w:ascii="Times New Roman" w:hAnsi="Times New Roman" w:cs="Times New Roman"/>
                <w:color w:val="000000" w:themeColor="text1"/>
              </w:rPr>
              <w:t>9</w:t>
            </w:r>
            <w:r w:rsidRPr="00014EF4">
              <w:rPr>
                <w:rFonts w:ascii="Times New Roman" w:hAnsi="Times New Roman" w:cs="Times New Roman"/>
                <w:color w:val="000000" w:themeColor="text1"/>
              </w:rPr>
              <w:t xml:space="preserve"> (1</w:t>
            </w:r>
            <w:r w:rsidR="00CB112A">
              <w:rPr>
                <w:rFonts w:ascii="Times New Roman" w:hAnsi="Times New Roman" w:cs="Times New Roman"/>
                <w:color w:val="000000" w:themeColor="text1"/>
              </w:rPr>
              <w:t>2</w:t>
            </w:r>
            <w:r w:rsidRPr="00014EF4">
              <w:rPr>
                <w:rFonts w:ascii="Times New Roman" w:hAnsi="Times New Roman" w:cs="Times New Roman"/>
                <w:color w:val="000000" w:themeColor="text1"/>
              </w:rPr>
              <w:t>-2</w:t>
            </w:r>
            <w:r w:rsidR="00CB112A">
              <w:rPr>
                <w:rFonts w:ascii="Times New Roman" w:hAnsi="Times New Roman" w:cs="Times New Roman"/>
                <w:color w:val="000000" w:themeColor="text1"/>
              </w:rPr>
              <w:t>5</w:t>
            </w:r>
            <w:r w:rsidRPr="00014EF4">
              <w:rPr>
                <w:rFonts w:ascii="Times New Roman" w:hAnsi="Times New Roman" w:cs="Times New Roman"/>
                <w:color w:val="000000" w:themeColor="text1"/>
              </w:rPr>
              <w:t>)</w:t>
            </w:r>
          </w:p>
        </w:tc>
      </w:tr>
      <w:tr w:rsidR="00E715BA" w:rsidRPr="00014EF4" w14:paraId="5344FD7D" w14:textId="77777777" w:rsidTr="00E715BA">
        <w:tc>
          <w:tcPr>
            <w:tcW w:w="2605" w:type="dxa"/>
            <w:shd w:val="clear" w:color="auto" w:fill="E7E6E6" w:themeFill="background2"/>
          </w:tcPr>
          <w:p w14:paraId="0AAC10EC"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p>
        </w:tc>
        <w:tc>
          <w:tcPr>
            <w:tcW w:w="2069" w:type="dxa"/>
            <w:shd w:val="clear" w:color="auto" w:fill="E7E6E6" w:themeFill="background2"/>
          </w:tcPr>
          <w:p w14:paraId="0611E58F" w14:textId="2FC40CB7"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Severe</w:t>
            </w:r>
          </w:p>
        </w:tc>
        <w:tc>
          <w:tcPr>
            <w:tcW w:w="2071" w:type="dxa"/>
            <w:shd w:val="clear" w:color="auto" w:fill="E7E6E6" w:themeFill="background2"/>
          </w:tcPr>
          <w:p w14:paraId="77A05EC9" w14:textId="1097F9E9" w:rsidR="00E715BA" w:rsidRPr="00014EF4" w:rsidRDefault="0062567F"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7</w:t>
            </w:r>
          </w:p>
        </w:tc>
        <w:tc>
          <w:tcPr>
            <w:tcW w:w="2605" w:type="dxa"/>
            <w:shd w:val="clear" w:color="auto" w:fill="E7E6E6" w:themeFill="background2"/>
          </w:tcPr>
          <w:p w14:paraId="5E613BEE" w14:textId="74FBD6C6" w:rsidR="00E715BA" w:rsidRPr="00014EF4" w:rsidRDefault="00CB112A" w:rsidP="00386B99">
            <w:pPr>
              <w:rPr>
                <w:rFonts w:ascii="Times New Roman" w:hAnsi="Times New Roman" w:cs="Times New Roman"/>
                <w:color w:val="000000" w:themeColor="text1"/>
              </w:rPr>
            </w:pPr>
            <w:r>
              <w:rPr>
                <w:rFonts w:ascii="Times New Roman" w:hAnsi="Times New Roman" w:cs="Times New Roman"/>
                <w:color w:val="000000" w:themeColor="text1"/>
              </w:rPr>
              <w:t>10</w:t>
            </w:r>
            <w:r w:rsidR="00E715BA" w:rsidRPr="00014EF4">
              <w:rPr>
                <w:rFonts w:ascii="Times New Roman" w:hAnsi="Times New Roman" w:cs="Times New Roman"/>
                <w:color w:val="000000" w:themeColor="text1"/>
              </w:rPr>
              <w:t xml:space="preserve"> (4-1</w:t>
            </w:r>
            <w:r>
              <w:rPr>
                <w:rFonts w:ascii="Times New Roman" w:hAnsi="Times New Roman" w:cs="Times New Roman"/>
                <w:color w:val="000000" w:themeColor="text1"/>
              </w:rPr>
              <w:t>6</w:t>
            </w:r>
            <w:r w:rsidR="00E715BA" w:rsidRPr="00014EF4">
              <w:rPr>
                <w:rFonts w:ascii="Times New Roman" w:hAnsi="Times New Roman" w:cs="Times New Roman"/>
                <w:color w:val="000000" w:themeColor="text1"/>
              </w:rPr>
              <w:t>)</w:t>
            </w:r>
          </w:p>
        </w:tc>
      </w:tr>
      <w:tr w:rsidR="00E715BA" w:rsidRPr="00014EF4" w14:paraId="78874A90" w14:textId="77777777" w:rsidTr="00E715BA">
        <w:tc>
          <w:tcPr>
            <w:tcW w:w="2605" w:type="dxa"/>
          </w:tcPr>
          <w:p w14:paraId="18BD910F"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6</w:t>
            </w:r>
          </w:p>
        </w:tc>
        <w:tc>
          <w:tcPr>
            <w:tcW w:w="2069" w:type="dxa"/>
          </w:tcPr>
          <w:p w14:paraId="3B72AE76" w14:textId="5A6C5FD2"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Normal</w:t>
            </w:r>
          </w:p>
        </w:tc>
        <w:tc>
          <w:tcPr>
            <w:tcW w:w="2071" w:type="dxa"/>
          </w:tcPr>
          <w:p w14:paraId="399BBFAE" w14:textId="7C6B6735"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3</w:t>
            </w:r>
            <w:r w:rsidR="00CB112A">
              <w:rPr>
                <w:rFonts w:ascii="Times New Roman" w:hAnsi="Times New Roman" w:cs="Times New Roman"/>
                <w:color w:val="000000" w:themeColor="text1"/>
              </w:rPr>
              <w:t>3</w:t>
            </w:r>
          </w:p>
        </w:tc>
        <w:tc>
          <w:tcPr>
            <w:tcW w:w="2605" w:type="dxa"/>
          </w:tcPr>
          <w:p w14:paraId="271555BF" w14:textId="3F635111"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4</w:t>
            </w:r>
            <w:r w:rsidR="0062567F" w:rsidRPr="00014EF4">
              <w:rPr>
                <w:rFonts w:ascii="Times New Roman" w:hAnsi="Times New Roman" w:cs="Times New Roman"/>
                <w:color w:val="000000" w:themeColor="text1"/>
              </w:rPr>
              <w:t>2</w:t>
            </w:r>
            <w:r w:rsidRPr="00014EF4">
              <w:rPr>
                <w:rFonts w:ascii="Times New Roman" w:hAnsi="Times New Roman" w:cs="Times New Roman"/>
                <w:color w:val="000000" w:themeColor="text1"/>
              </w:rPr>
              <w:t xml:space="preserve"> (3</w:t>
            </w:r>
            <w:r w:rsidR="00CB112A">
              <w:rPr>
                <w:rFonts w:ascii="Times New Roman" w:hAnsi="Times New Roman" w:cs="Times New Roman"/>
                <w:color w:val="000000" w:themeColor="text1"/>
              </w:rPr>
              <w:t>4</w:t>
            </w:r>
            <w:r w:rsidRPr="00014EF4">
              <w:rPr>
                <w:rFonts w:ascii="Times New Roman" w:hAnsi="Times New Roman" w:cs="Times New Roman"/>
                <w:color w:val="000000" w:themeColor="text1"/>
              </w:rPr>
              <w:t>-5</w:t>
            </w:r>
            <w:r w:rsidR="0062567F" w:rsidRPr="00014EF4">
              <w:rPr>
                <w:rFonts w:ascii="Times New Roman" w:hAnsi="Times New Roman" w:cs="Times New Roman"/>
                <w:color w:val="000000" w:themeColor="text1"/>
              </w:rPr>
              <w:t>2</w:t>
            </w:r>
            <w:r w:rsidRPr="00014EF4">
              <w:rPr>
                <w:rFonts w:ascii="Times New Roman" w:hAnsi="Times New Roman" w:cs="Times New Roman"/>
                <w:color w:val="000000" w:themeColor="text1"/>
              </w:rPr>
              <w:t>)</w:t>
            </w:r>
          </w:p>
        </w:tc>
      </w:tr>
      <w:tr w:rsidR="00E715BA" w:rsidRPr="00014EF4" w14:paraId="3C6F2F59" w14:textId="77777777" w:rsidTr="00E715BA">
        <w:tc>
          <w:tcPr>
            <w:tcW w:w="2605" w:type="dxa"/>
          </w:tcPr>
          <w:p w14:paraId="79446FC5"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6</w:t>
            </w:r>
          </w:p>
        </w:tc>
        <w:tc>
          <w:tcPr>
            <w:tcW w:w="2069" w:type="dxa"/>
          </w:tcPr>
          <w:p w14:paraId="5180C357" w14:textId="7525EFE4"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Minimal</w:t>
            </w:r>
          </w:p>
        </w:tc>
        <w:tc>
          <w:tcPr>
            <w:tcW w:w="2071" w:type="dxa"/>
          </w:tcPr>
          <w:p w14:paraId="53D2B44D" w14:textId="4099863A" w:rsidR="00E715BA" w:rsidRPr="00014EF4" w:rsidRDefault="00CB112A" w:rsidP="00386B99">
            <w:pPr>
              <w:rPr>
                <w:rFonts w:ascii="Times New Roman" w:hAnsi="Times New Roman" w:cs="Times New Roman"/>
                <w:color w:val="000000" w:themeColor="text1"/>
              </w:rPr>
            </w:pPr>
            <w:r>
              <w:rPr>
                <w:rFonts w:ascii="Times New Roman" w:hAnsi="Times New Roman" w:cs="Times New Roman"/>
                <w:color w:val="000000" w:themeColor="text1"/>
              </w:rPr>
              <w:t>20</w:t>
            </w:r>
          </w:p>
        </w:tc>
        <w:tc>
          <w:tcPr>
            <w:tcW w:w="2605" w:type="dxa"/>
          </w:tcPr>
          <w:p w14:paraId="555BC3B1" w14:textId="5CBF3CF4"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17 (1</w:t>
            </w:r>
            <w:r w:rsidR="0062567F" w:rsidRPr="00014EF4">
              <w:rPr>
                <w:rFonts w:ascii="Times New Roman" w:hAnsi="Times New Roman" w:cs="Times New Roman"/>
                <w:color w:val="000000" w:themeColor="text1"/>
              </w:rPr>
              <w:t>1</w:t>
            </w:r>
            <w:r w:rsidRPr="00014EF4">
              <w:rPr>
                <w:rFonts w:ascii="Times New Roman" w:hAnsi="Times New Roman" w:cs="Times New Roman"/>
                <w:color w:val="000000" w:themeColor="text1"/>
              </w:rPr>
              <w:t>-2</w:t>
            </w:r>
            <w:r w:rsidR="00CB112A">
              <w:rPr>
                <w:rFonts w:ascii="Times New Roman" w:hAnsi="Times New Roman" w:cs="Times New Roman"/>
                <w:color w:val="000000" w:themeColor="text1"/>
              </w:rPr>
              <w:t>5</w:t>
            </w:r>
            <w:r w:rsidRPr="00014EF4">
              <w:rPr>
                <w:rFonts w:ascii="Times New Roman" w:hAnsi="Times New Roman" w:cs="Times New Roman"/>
                <w:color w:val="000000" w:themeColor="text1"/>
              </w:rPr>
              <w:t>)</w:t>
            </w:r>
          </w:p>
        </w:tc>
      </w:tr>
      <w:tr w:rsidR="00E715BA" w:rsidRPr="00014EF4" w14:paraId="31BD4310" w14:textId="77777777" w:rsidTr="00E715BA">
        <w:tc>
          <w:tcPr>
            <w:tcW w:w="2605" w:type="dxa"/>
          </w:tcPr>
          <w:p w14:paraId="10783F34"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6</w:t>
            </w:r>
          </w:p>
        </w:tc>
        <w:tc>
          <w:tcPr>
            <w:tcW w:w="2069" w:type="dxa"/>
          </w:tcPr>
          <w:p w14:paraId="701D6782" w14:textId="49BA000C"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Modest</w:t>
            </w:r>
          </w:p>
        </w:tc>
        <w:tc>
          <w:tcPr>
            <w:tcW w:w="2071" w:type="dxa"/>
          </w:tcPr>
          <w:p w14:paraId="3318DA37" w14:textId="63C3C8A4"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28</w:t>
            </w:r>
          </w:p>
        </w:tc>
        <w:tc>
          <w:tcPr>
            <w:tcW w:w="2605" w:type="dxa"/>
          </w:tcPr>
          <w:p w14:paraId="5B7850B6" w14:textId="1AAD96EA"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2</w:t>
            </w:r>
            <w:r w:rsidR="0062567F" w:rsidRPr="00014EF4">
              <w:rPr>
                <w:rFonts w:ascii="Times New Roman" w:hAnsi="Times New Roman" w:cs="Times New Roman"/>
                <w:color w:val="000000" w:themeColor="text1"/>
              </w:rPr>
              <w:t>4</w:t>
            </w:r>
            <w:r w:rsidRPr="00014EF4">
              <w:rPr>
                <w:rFonts w:ascii="Times New Roman" w:hAnsi="Times New Roman" w:cs="Times New Roman"/>
                <w:color w:val="000000" w:themeColor="text1"/>
              </w:rPr>
              <w:t xml:space="preserve"> (1</w:t>
            </w:r>
            <w:r w:rsidR="00CB112A">
              <w:rPr>
                <w:rFonts w:ascii="Times New Roman" w:hAnsi="Times New Roman" w:cs="Times New Roman"/>
                <w:color w:val="000000" w:themeColor="text1"/>
              </w:rPr>
              <w:t>7</w:t>
            </w:r>
            <w:r w:rsidRPr="00014EF4">
              <w:rPr>
                <w:rFonts w:ascii="Times New Roman" w:hAnsi="Times New Roman" w:cs="Times New Roman"/>
                <w:color w:val="000000" w:themeColor="text1"/>
              </w:rPr>
              <w:t>-3</w:t>
            </w:r>
            <w:r w:rsidR="00CB112A">
              <w:rPr>
                <w:rFonts w:ascii="Times New Roman" w:hAnsi="Times New Roman" w:cs="Times New Roman"/>
                <w:color w:val="000000" w:themeColor="text1"/>
              </w:rPr>
              <w:t>1</w:t>
            </w:r>
            <w:r w:rsidRPr="00014EF4">
              <w:rPr>
                <w:rFonts w:ascii="Times New Roman" w:hAnsi="Times New Roman" w:cs="Times New Roman"/>
                <w:color w:val="000000" w:themeColor="text1"/>
              </w:rPr>
              <w:t>)</w:t>
            </w:r>
          </w:p>
        </w:tc>
      </w:tr>
      <w:tr w:rsidR="00E715BA" w:rsidRPr="00014EF4" w14:paraId="441ECBD6" w14:textId="77777777" w:rsidTr="00E715BA">
        <w:tc>
          <w:tcPr>
            <w:tcW w:w="2605" w:type="dxa"/>
          </w:tcPr>
          <w:p w14:paraId="44C29AB3" w14:textId="77777777"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6</w:t>
            </w:r>
          </w:p>
        </w:tc>
        <w:tc>
          <w:tcPr>
            <w:tcW w:w="2069" w:type="dxa"/>
          </w:tcPr>
          <w:p w14:paraId="78B58F5A" w14:textId="53288C46"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Severe</w:t>
            </w:r>
          </w:p>
        </w:tc>
        <w:tc>
          <w:tcPr>
            <w:tcW w:w="2071" w:type="dxa"/>
          </w:tcPr>
          <w:p w14:paraId="68497717" w14:textId="10834B1B"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CB112A">
              <w:rPr>
                <w:rFonts w:ascii="Times New Roman" w:hAnsi="Times New Roman" w:cs="Times New Roman"/>
                <w:color w:val="000000" w:themeColor="text1"/>
              </w:rPr>
              <w:t>9</w:t>
            </w:r>
          </w:p>
        </w:tc>
        <w:tc>
          <w:tcPr>
            <w:tcW w:w="2605" w:type="dxa"/>
          </w:tcPr>
          <w:p w14:paraId="656A8FE2" w14:textId="12FE395F"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CB112A">
              <w:rPr>
                <w:rFonts w:ascii="Times New Roman" w:hAnsi="Times New Roman" w:cs="Times New Roman"/>
                <w:color w:val="000000" w:themeColor="text1"/>
              </w:rPr>
              <w:t>6</w:t>
            </w:r>
            <w:r w:rsidRPr="00014EF4">
              <w:rPr>
                <w:rFonts w:ascii="Times New Roman" w:hAnsi="Times New Roman" w:cs="Times New Roman"/>
                <w:color w:val="000000" w:themeColor="text1"/>
              </w:rPr>
              <w:t xml:space="preserve"> (</w:t>
            </w:r>
            <w:r w:rsidR="00CB112A">
              <w:rPr>
                <w:rFonts w:ascii="Times New Roman" w:hAnsi="Times New Roman" w:cs="Times New Roman"/>
                <w:color w:val="000000" w:themeColor="text1"/>
              </w:rPr>
              <w:t>9</w:t>
            </w:r>
            <w:r w:rsidRPr="00014EF4">
              <w:rPr>
                <w:rFonts w:ascii="Times New Roman" w:hAnsi="Times New Roman" w:cs="Times New Roman"/>
                <w:color w:val="000000" w:themeColor="text1"/>
              </w:rPr>
              <w:t>-2</w:t>
            </w:r>
            <w:r w:rsidR="00CB112A">
              <w:rPr>
                <w:rFonts w:ascii="Times New Roman" w:hAnsi="Times New Roman" w:cs="Times New Roman"/>
                <w:color w:val="000000" w:themeColor="text1"/>
              </w:rPr>
              <w:t>3</w:t>
            </w:r>
            <w:r w:rsidRPr="00014EF4">
              <w:rPr>
                <w:rFonts w:ascii="Times New Roman" w:hAnsi="Times New Roman" w:cs="Times New Roman"/>
                <w:color w:val="000000" w:themeColor="text1"/>
              </w:rPr>
              <w:t>)</w:t>
            </w:r>
          </w:p>
        </w:tc>
      </w:tr>
      <w:tr w:rsidR="00E715BA" w:rsidRPr="00014EF4" w14:paraId="7B73EE31" w14:textId="77777777" w:rsidTr="00E715BA">
        <w:tc>
          <w:tcPr>
            <w:tcW w:w="2605" w:type="dxa"/>
            <w:shd w:val="clear" w:color="auto" w:fill="E7E6E6" w:themeFill="background2"/>
          </w:tcPr>
          <w:p w14:paraId="6C7E9872" w14:textId="0D651433"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62567F" w:rsidRPr="00014EF4">
              <w:rPr>
                <w:rFonts w:ascii="Times New Roman" w:hAnsi="Times New Roman" w:cs="Times New Roman"/>
                <w:color w:val="000000" w:themeColor="text1"/>
              </w:rPr>
              <w:t>8</w:t>
            </w:r>
          </w:p>
        </w:tc>
        <w:tc>
          <w:tcPr>
            <w:tcW w:w="2069" w:type="dxa"/>
            <w:shd w:val="clear" w:color="auto" w:fill="E7E6E6" w:themeFill="background2"/>
          </w:tcPr>
          <w:p w14:paraId="4FAB4719" w14:textId="3C953474"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Normal</w:t>
            </w:r>
          </w:p>
        </w:tc>
        <w:tc>
          <w:tcPr>
            <w:tcW w:w="2071" w:type="dxa"/>
            <w:shd w:val="clear" w:color="auto" w:fill="E7E6E6" w:themeFill="background2"/>
          </w:tcPr>
          <w:p w14:paraId="78D36352" w14:textId="3DEBA00B"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bCs/>
                <w:color w:val="000000" w:themeColor="text1"/>
                <w:kern w:val="24"/>
              </w:rPr>
              <w:t>5</w:t>
            </w:r>
            <w:r w:rsidR="00CB112A">
              <w:rPr>
                <w:rFonts w:ascii="Times New Roman" w:hAnsi="Times New Roman" w:cs="Times New Roman"/>
                <w:bCs/>
                <w:color w:val="000000" w:themeColor="text1"/>
                <w:kern w:val="24"/>
              </w:rPr>
              <w:t>1</w:t>
            </w:r>
          </w:p>
        </w:tc>
        <w:tc>
          <w:tcPr>
            <w:tcW w:w="2605" w:type="dxa"/>
            <w:shd w:val="clear" w:color="auto" w:fill="E7E6E6" w:themeFill="background2"/>
          </w:tcPr>
          <w:p w14:paraId="60962770" w14:textId="1367981F"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bCs/>
                <w:color w:val="000000" w:themeColor="text1"/>
                <w:kern w:val="24"/>
              </w:rPr>
              <w:t>5</w:t>
            </w:r>
            <w:r w:rsidR="0062567F" w:rsidRPr="00014EF4">
              <w:rPr>
                <w:rFonts w:ascii="Times New Roman" w:hAnsi="Times New Roman" w:cs="Times New Roman"/>
                <w:bCs/>
                <w:color w:val="000000" w:themeColor="text1"/>
                <w:kern w:val="24"/>
              </w:rPr>
              <w:t>6</w:t>
            </w:r>
            <w:r w:rsidRPr="00014EF4">
              <w:rPr>
                <w:rFonts w:ascii="Times New Roman" w:hAnsi="Times New Roman" w:cs="Times New Roman"/>
                <w:bCs/>
                <w:color w:val="000000" w:themeColor="text1"/>
                <w:kern w:val="24"/>
              </w:rPr>
              <w:t xml:space="preserve"> (4</w:t>
            </w:r>
            <w:r w:rsidR="0062567F" w:rsidRPr="00014EF4">
              <w:rPr>
                <w:rFonts w:ascii="Times New Roman" w:hAnsi="Times New Roman" w:cs="Times New Roman"/>
                <w:bCs/>
                <w:color w:val="000000" w:themeColor="text1"/>
                <w:kern w:val="24"/>
              </w:rPr>
              <w:t>5</w:t>
            </w:r>
            <w:r w:rsidRPr="00014EF4">
              <w:rPr>
                <w:rFonts w:ascii="Times New Roman" w:hAnsi="Times New Roman" w:cs="Times New Roman"/>
                <w:bCs/>
                <w:color w:val="000000" w:themeColor="text1"/>
                <w:kern w:val="24"/>
              </w:rPr>
              <w:t>-6</w:t>
            </w:r>
            <w:r w:rsidR="00CB112A">
              <w:rPr>
                <w:rFonts w:ascii="Times New Roman" w:hAnsi="Times New Roman" w:cs="Times New Roman"/>
                <w:bCs/>
                <w:color w:val="000000" w:themeColor="text1"/>
                <w:kern w:val="24"/>
              </w:rPr>
              <w:t>6</w:t>
            </w:r>
            <w:r w:rsidRPr="00014EF4">
              <w:rPr>
                <w:rFonts w:ascii="Times New Roman" w:hAnsi="Times New Roman" w:cs="Times New Roman"/>
                <w:bCs/>
                <w:color w:val="000000" w:themeColor="text1"/>
                <w:kern w:val="24"/>
              </w:rPr>
              <w:t>)</w:t>
            </w:r>
          </w:p>
        </w:tc>
      </w:tr>
      <w:tr w:rsidR="00E715BA" w:rsidRPr="00014EF4" w14:paraId="0004F29A" w14:textId="77777777" w:rsidTr="00E715BA">
        <w:tc>
          <w:tcPr>
            <w:tcW w:w="2605" w:type="dxa"/>
            <w:shd w:val="clear" w:color="auto" w:fill="E7E6E6" w:themeFill="background2"/>
          </w:tcPr>
          <w:p w14:paraId="2985CD55" w14:textId="2401F2FA"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62567F" w:rsidRPr="00014EF4">
              <w:rPr>
                <w:rFonts w:ascii="Times New Roman" w:hAnsi="Times New Roman" w:cs="Times New Roman"/>
                <w:color w:val="000000" w:themeColor="text1"/>
              </w:rPr>
              <w:t>8</w:t>
            </w:r>
          </w:p>
        </w:tc>
        <w:tc>
          <w:tcPr>
            <w:tcW w:w="2069" w:type="dxa"/>
            <w:shd w:val="clear" w:color="auto" w:fill="E7E6E6" w:themeFill="background2"/>
          </w:tcPr>
          <w:p w14:paraId="0D22EF5A" w14:textId="751541E4"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Minimal</w:t>
            </w:r>
          </w:p>
        </w:tc>
        <w:tc>
          <w:tcPr>
            <w:tcW w:w="2071" w:type="dxa"/>
            <w:shd w:val="clear" w:color="auto" w:fill="E7E6E6" w:themeFill="background2"/>
          </w:tcPr>
          <w:p w14:paraId="10450F63" w14:textId="79D31EA2"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2</w:t>
            </w:r>
            <w:r w:rsidR="0062567F" w:rsidRPr="00014EF4">
              <w:rPr>
                <w:rFonts w:ascii="Times New Roman" w:hAnsi="Times New Roman" w:cs="Times New Roman"/>
                <w:color w:val="000000" w:themeColor="text1"/>
                <w:kern w:val="24"/>
              </w:rPr>
              <w:t>4</w:t>
            </w:r>
          </w:p>
        </w:tc>
        <w:tc>
          <w:tcPr>
            <w:tcW w:w="2605" w:type="dxa"/>
            <w:shd w:val="clear" w:color="auto" w:fill="E7E6E6" w:themeFill="background2"/>
          </w:tcPr>
          <w:p w14:paraId="446C0B93" w14:textId="30EF3D11"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1</w:t>
            </w:r>
            <w:r w:rsidR="0062567F" w:rsidRPr="00014EF4">
              <w:rPr>
                <w:rFonts w:ascii="Times New Roman" w:hAnsi="Times New Roman" w:cs="Times New Roman"/>
                <w:color w:val="000000" w:themeColor="text1"/>
                <w:kern w:val="24"/>
              </w:rPr>
              <w:t>6</w:t>
            </w:r>
            <w:r w:rsidRPr="00014EF4">
              <w:rPr>
                <w:rFonts w:ascii="Times New Roman" w:hAnsi="Times New Roman" w:cs="Times New Roman"/>
                <w:color w:val="000000" w:themeColor="text1"/>
                <w:kern w:val="24"/>
              </w:rPr>
              <w:t xml:space="preserve"> (</w:t>
            </w:r>
            <w:r w:rsidR="0062567F" w:rsidRPr="00014EF4">
              <w:rPr>
                <w:rFonts w:ascii="Times New Roman" w:hAnsi="Times New Roman" w:cs="Times New Roman"/>
                <w:color w:val="000000" w:themeColor="text1"/>
                <w:kern w:val="24"/>
              </w:rPr>
              <w:t>9</w:t>
            </w:r>
            <w:r w:rsidRPr="00014EF4">
              <w:rPr>
                <w:rFonts w:ascii="Times New Roman" w:hAnsi="Times New Roman" w:cs="Times New Roman"/>
                <w:color w:val="000000" w:themeColor="text1"/>
                <w:kern w:val="24"/>
              </w:rPr>
              <w:t>-2</w:t>
            </w:r>
            <w:r w:rsidR="0062567F" w:rsidRPr="00014EF4">
              <w:rPr>
                <w:rFonts w:ascii="Times New Roman" w:hAnsi="Times New Roman" w:cs="Times New Roman"/>
                <w:color w:val="000000" w:themeColor="text1"/>
                <w:kern w:val="24"/>
              </w:rPr>
              <w:t>4</w:t>
            </w:r>
            <w:r w:rsidRPr="00014EF4">
              <w:rPr>
                <w:rFonts w:ascii="Times New Roman" w:hAnsi="Times New Roman" w:cs="Times New Roman"/>
                <w:color w:val="000000" w:themeColor="text1"/>
                <w:kern w:val="24"/>
              </w:rPr>
              <w:t>)</w:t>
            </w:r>
          </w:p>
        </w:tc>
      </w:tr>
      <w:tr w:rsidR="00E715BA" w:rsidRPr="00014EF4" w14:paraId="1971AFC2" w14:textId="77777777" w:rsidTr="00E715BA">
        <w:tc>
          <w:tcPr>
            <w:tcW w:w="2605" w:type="dxa"/>
            <w:shd w:val="clear" w:color="auto" w:fill="E7E6E6" w:themeFill="background2"/>
          </w:tcPr>
          <w:p w14:paraId="58DBBC82" w14:textId="65068DAA"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62567F" w:rsidRPr="00014EF4">
              <w:rPr>
                <w:rFonts w:ascii="Times New Roman" w:hAnsi="Times New Roman" w:cs="Times New Roman"/>
                <w:color w:val="000000" w:themeColor="text1"/>
              </w:rPr>
              <w:t>8</w:t>
            </w:r>
          </w:p>
        </w:tc>
        <w:tc>
          <w:tcPr>
            <w:tcW w:w="2069" w:type="dxa"/>
            <w:shd w:val="clear" w:color="auto" w:fill="E7E6E6" w:themeFill="background2"/>
          </w:tcPr>
          <w:p w14:paraId="00DBBAC6" w14:textId="15461A70"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Modest</w:t>
            </w:r>
          </w:p>
        </w:tc>
        <w:tc>
          <w:tcPr>
            <w:tcW w:w="2071" w:type="dxa"/>
            <w:shd w:val="clear" w:color="auto" w:fill="E7E6E6" w:themeFill="background2"/>
          </w:tcPr>
          <w:p w14:paraId="0898DC5B" w14:textId="4775A074"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2</w:t>
            </w:r>
            <w:r w:rsidR="0062567F" w:rsidRPr="00014EF4">
              <w:rPr>
                <w:rFonts w:ascii="Times New Roman" w:hAnsi="Times New Roman" w:cs="Times New Roman"/>
                <w:color w:val="000000" w:themeColor="text1"/>
                <w:kern w:val="24"/>
              </w:rPr>
              <w:t>1</w:t>
            </w:r>
          </w:p>
        </w:tc>
        <w:tc>
          <w:tcPr>
            <w:tcW w:w="2605" w:type="dxa"/>
            <w:shd w:val="clear" w:color="auto" w:fill="E7E6E6" w:themeFill="background2"/>
          </w:tcPr>
          <w:p w14:paraId="6B4A38CB" w14:textId="013B1F79"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1</w:t>
            </w:r>
            <w:r w:rsidR="0062567F" w:rsidRPr="00014EF4">
              <w:rPr>
                <w:rFonts w:ascii="Times New Roman" w:hAnsi="Times New Roman" w:cs="Times New Roman"/>
                <w:color w:val="000000" w:themeColor="text1"/>
                <w:kern w:val="24"/>
              </w:rPr>
              <w:t>8</w:t>
            </w:r>
            <w:r w:rsidRPr="00014EF4">
              <w:rPr>
                <w:rFonts w:ascii="Times New Roman" w:hAnsi="Times New Roman" w:cs="Times New Roman"/>
                <w:color w:val="000000" w:themeColor="text1"/>
                <w:kern w:val="24"/>
              </w:rPr>
              <w:t xml:space="preserve"> (1</w:t>
            </w:r>
            <w:r w:rsidR="0062567F" w:rsidRPr="00014EF4">
              <w:rPr>
                <w:rFonts w:ascii="Times New Roman" w:hAnsi="Times New Roman" w:cs="Times New Roman"/>
                <w:color w:val="000000" w:themeColor="text1"/>
                <w:kern w:val="24"/>
              </w:rPr>
              <w:t>1</w:t>
            </w:r>
            <w:r w:rsidRPr="00014EF4">
              <w:rPr>
                <w:rFonts w:ascii="Times New Roman" w:hAnsi="Times New Roman" w:cs="Times New Roman"/>
                <w:color w:val="000000" w:themeColor="text1"/>
                <w:kern w:val="24"/>
              </w:rPr>
              <w:t>-</w:t>
            </w:r>
            <w:r w:rsidR="00CB112A">
              <w:rPr>
                <w:rFonts w:ascii="Times New Roman" w:hAnsi="Times New Roman" w:cs="Times New Roman"/>
                <w:color w:val="000000" w:themeColor="text1"/>
                <w:kern w:val="24"/>
              </w:rPr>
              <w:t>2</w:t>
            </w:r>
            <w:r w:rsidR="0062567F" w:rsidRPr="00014EF4">
              <w:rPr>
                <w:rFonts w:ascii="Times New Roman" w:hAnsi="Times New Roman" w:cs="Times New Roman"/>
                <w:color w:val="000000" w:themeColor="text1"/>
                <w:kern w:val="24"/>
              </w:rPr>
              <w:t>7</w:t>
            </w:r>
            <w:r w:rsidRPr="00014EF4">
              <w:rPr>
                <w:rFonts w:ascii="Times New Roman" w:hAnsi="Times New Roman" w:cs="Times New Roman"/>
                <w:color w:val="000000" w:themeColor="text1"/>
                <w:kern w:val="24"/>
              </w:rPr>
              <w:t>)</w:t>
            </w:r>
          </w:p>
        </w:tc>
      </w:tr>
      <w:tr w:rsidR="00E715BA" w:rsidRPr="00014EF4" w14:paraId="2567CD5F" w14:textId="77777777" w:rsidTr="00E715BA">
        <w:tc>
          <w:tcPr>
            <w:tcW w:w="2605" w:type="dxa"/>
            <w:shd w:val="clear" w:color="auto" w:fill="E7E6E6" w:themeFill="background2"/>
          </w:tcPr>
          <w:p w14:paraId="397065D7" w14:textId="56FC9764"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1</w:t>
            </w:r>
            <w:r w:rsidR="0062567F" w:rsidRPr="00014EF4">
              <w:rPr>
                <w:rFonts w:ascii="Times New Roman" w:hAnsi="Times New Roman" w:cs="Times New Roman"/>
                <w:color w:val="000000" w:themeColor="text1"/>
              </w:rPr>
              <w:t>8</w:t>
            </w:r>
          </w:p>
        </w:tc>
        <w:tc>
          <w:tcPr>
            <w:tcW w:w="2069" w:type="dxa"/>
            <w:shd w:val="clear" w:color="auto" w:fill="E7E6E6" w:themeFill="background2"/>
          </w:tcPr>
          <w:p w14:paraId="27FFC412" w14:textId="318FE5DE"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Severe</w:t>
            </w:r>
          </w:p>
        </w:tc>
        <w:tc>
          <w:tcPr>
            <w:tcW w:w="2071" w:type="dxa"/>
            <w:shd w:val="clear" w:color="auto" w:fill="E7E6E6" w:themeFill="background2"/>
          </w:tcPr>
          <w:p w14:paraId="1A11ADA6" w14:textId="65D482CF"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4</w:t>
            </w:r>
          </w:p>
        </w:tc>
        <w:tc>
          <w:tcPr>
            <w:tcW w:w="2605" w:type="dxa"/>
            <w:shd w:val="clear" w:color="auto" w:fill="E7E6E6" w:themeFill="background2"/>
          </w:tcPr>
          <w:p w14:paraId="333F7B3E" w14:textId="0881FC1F" w:rsidR="00E715BA" w:rsidRPr="00014EF4" w:rsidRDefault="0062567F"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9</w:t>
            </w:r>
            <w:r w:rsidR="00E715BA" w:rsidRPr="00014EF4">
              <w:rPr>
                <w:rFonts w:ascii="Times New Roman" w:hAnsi="Times New Roman" w:cs="Times New Roman"/>
                <w:color w:val="000000" w:themeColor="text1"/>
                <w:kern w:val="24"/>
              </w:rPr>
              <w:t xml:space="preserve"> (4-1</w:t>
            </w:r>
            <w:r w:rsidRPr="00014EF4">
              <w:rPr>
                <w:rFonts w:ascii="Times New Roman" w:hAnsi="Times New Roman" w:cs="Times New Roman"/>
                <w:color w:val="000000" w:themeColor="text1"/>
                <w:kern w:val="24"/>
              </w:rPr>
              <w:t>6</w:t>
            </w:r>
            <w:r w:rsidR="00E715BA" w:rsidRPr="00014EF4">
              <w:rPr>
                <w:rFonts w:ascii="Times New Roman" w:hAnsi="Times New Roman" w:cs="Times New Roman"/>
                <w:color w:val="000000" w:themeColor="text1"/>
                <w:kern w:val="24"/>
              </w:rPr>
              <w:t>)</w:t>
            </w:r>
          </w:p>
        </w:tc>
      </w:tr>
      <w:tr w:rsidR="00E715BA" w:rsidRPr="00014EF4" w14:paraId="63F40596" w14:textId="77777777" w:rsidTr="00E715BA">
        <w:tc>
          <w:tcPr>
            <w:tcW w:w="2605" w:type="dxa"/>
          </w:tcPr>
          <w:p w14:paraId="1A3E72CE" w14:textId="7DB1ED93"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r w:rsidR="0062567F" w:rsidRPr="00014EF4">
              <w:rPr>
                <w:rFonts w:ascii="Times New Roman" w:hAnsi="Times New Roman" w:cs="Times New Roman"/>
                <w:color w:val="000000" w:themeColor="text1"/>
              </w:rPr>
              <w:t>0</w:t>
            </w:r>
          </w:p>
        </w:tc>
        <w:tc>
          <w:tcPr>
            <w:tcW w:w="2069" w:type="dxa"/>
          </w:tcPr>
          <w:p w14:paraId="68C712A3" w14:textId="5F177E1B"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Normal</w:t>
            </w:r>
          </w:p>
        </w:tc>
        <w:tc>
          <w:tcPr>
            <w:tcW w:w="2071" w:type="dxa"/>
          </w:tcPr>
          <w:p w14:paraId="3822F432" w14:textId="53DAFB92"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60</w:t>
            </w:r>
          </w:p>
        </w:tc>
        <w:tc>
          <w:tcPr>
            <w:tcW w:w="2605" w:type="dxa"/>
          </w:tcPr>
          <w:p w14:paraId="2FFEFB1B" w14:textId="084393BD"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67 (5</w:t>
            </w:r>
            <w:r w:rsidR="00CB112A">
              <w:rPr>
                <w:rFonts w:ascii="Times New Roman" w:hAnsi="Times New Roman" w:cs="Times New Roman"/>
                <w:color w:val="000000" w:themeColor="text1"/>
                <w:kern w:val="24"/>
              </w:rPr>
              <w:t>4</w:t>
            </w:r>
            <w:r w:rsidRPr="00014EF4">
              <w:rPr>
                <w:rFonts w:ascii="Times New Roman" w:hAnsi="Times New Roman" w:cs="Times New Roman"/>
                <w:color w:val="000000" w:themeColor="text1"/>
                <w:kern w:val="24"/>
              </w:rPr>
              <w:t>-81)</w:t>
            </w:r>
          </w:p>
        </w:tc>
      </w:tr>
      <w:tr w:rsidR="00E715BA" w:rsidRPr="00014EF4" w14:paraId="7C06727D" w14:textId="77777777" w:rsidTr="00E715BA">
        <w:tc>
          <w:tcPr>
            <w:tcW w:w="2605" w:type="dxa"/>
          </w:tcPr>
          <w:p w14:paraId="23872FF9" w14:textId="0AD87D5F"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r w:rsidR="0062567F" w:rsidRPr="00014EF4">
              <w:rPr>
                <w:rFonts w:ascii="Times New Roman" w:hAnsi="Times New Roman" w:cs="Times New Roman"/>
                <w:color w:val="000000" w:themeColor="text1"/>
              </w:rPr>
              <w:t>0</w:t>
            </w:r>
          </w:p>
        </w:tc>
        <w:tc>
          <w:tcPr>
            <w:tcW w:w="2069" w:type="dxa"/>
          </w:tcPr>
          <w:p w14:paraId="14482D31" w14:textId="7745BF63"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Minimal</w:t>
            </w:r>
          </w:p>
        </w:tc>
        <w:tc>
          <w:tcPr>
            <w:tcW w:w="2071" w:type="dxa"/>
          </w:tcPr>
          <w:p w14:paraId="2FFA5A16" w14:textId="661089A0"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12</w:t>
            </w:r>
          </w:p>
        </w:tc>
        <w:tc>
          <w:tcPr>
            <w:tcW w:w="2605" w:type="dxa"/>
          </w:tcPr>
          <w:p w14:paraId="325EDB0E" w14:textId="23876F29"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dark1"/>
                <w:kern w:val="24"/>
              </w:rPr>
              <w:t>1</w:t>
            </w:r>
            <w:r w:rsidR="00CB112A">
              <w:rPr>
                <w:rFonts w:ascii="Times New Roman" w:hAnsi="Times New Roman" w:cs="Times New Roman"/>
                <w:color w:val="000000" w:themeColor="dark1"/>
                <w:kern w:val="24"/>
              </w:rPr>
              <w:t>4</w:t>
            </w:r>
            <w:r w:rsidRPr="00014EF4">
              <w:rPr>
                <w:rFonts w:ascii="Times New Roman" w:hAnsi="Times New Roman" w:cs="Times New Roman"/>
                <w:color w:val="000000" w:themeColor="dark1"/>
                <w:kern w:val="24"/>
              </w:rPr>
              <w:t xml:space="preserve"> (</w:t>
            </w:r>
            <w:r w:rsidR="0062567F" w:rsidRPr="00014EF4">
              <w:rPr>
                <w:rFonts w:ascii="Times New Roman" w:hAnsi="Times New Roman" w:cs="Times New Roman"/>
                <w:color w:val="000000" w:themeColor="dark1"/>
                <w:kern w:val="24"/>
              </w:rPr>
              <w:t>5</w:t>
            </w:r>
            <w:r w:rsidRPr="00014EF4">
              <w:rPr>
                <w:rFonts w:ascii="Times New Roman" w:hAnsi="Times New Roman" w:cs="Times New Roman"/>
                <w:color w:val="000000" w:themeColor="dark1"/>
                <w:kern w:val="24"/>
              </w:rPr>
              <w:t>-2</w:t>
            </w:r>
            <w:r w:rsidR="0062567F" w:rsidRPr="00014EF4">
              <w:rPr>
                <w:rFonts w:ascii="Times New Roman" w:hAnsi="Times New Roman" w:cs="Times New Roman"/>
                <w:color w:val="000000" w:themeColor="dark1"/>
                <w:kern w:val="24"/>
              </w:rPr>
              <w:t>3</w:t>
            </w:r>
            <w:r w:rsidRPr="00014EF4">
              <w:rPr>
                <w:rFonts w:ascii="Times New Roman" w:hAnsi="Times New Roman" w:cs="Times New Roman"/>
                <w:color w:val="000000" w:themeColor="dark1"/>
                <w:kern w:val="24"/>
              </w:rPr>
              <w:t>)</w:t>
            </w:r>
          </w:p>
        </w:tc>
      </w:tr>
      <w:tr w:rsidR="00E715BA" w:rsidRPr="00014EF4" w14:paraId="309872B0" w14:textId="77777777" w:rsidTr="00E715BA">
        <w:tc>
          <w:tcPr>
            <w:tcW w:w="2605" w:type="dxa"/>
          </w:tcPr>
          <w:p w14:paraId="1E630D6A" w14:textId="33A05AF0"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r w:rsidR="0062567F" w:rsidRPr="00014EF4">
              <w:rPr>
                <w:rFonts w:ascii="Times New Roman" w:hAnsi="Times New Roman" w:cs="Times New Roman"/>
                <w:color w:val="000000" w:themeColor="text1"/>
              </w:rPr>
              <w:t>0</w:t>
            </w:r>
          </w:p>
        </w:tc>
        <w:tc>
          <w:tcPr>
            <w:tcW w:w="2069" w:type="dxa"/>
          </w:tcPr>
          <w:p w14:paraId="5906537A" w14:textId="3727E17F"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Modest</w:t>
            </w:r>
          </w:p>
        </w:tc>
        <w:tc>
          <w:tcPr>
            <w:tcW w:w="2071" w:type="dxa"/>
          </w:tcPr>
          <w:p w14:paraId="62BD6375" w14:textId="7E192C7E"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26</w:t>
            </w:r>
          </w:p>
        </w:tc>
        <w:tc>
          <w:tcPr>
            <w:tcW w:w="2605" w:type="dxa"/>
          </w:tcPr>
          <w:p w14:paraId="169D6E2D" w14:textId="74463F66"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dark1"/>
                <w:kern w:val="24"/>
              </w:rPr>
              <w:t>1</w:t>
            </w:r>
            <w:r w:rsidR="00CB112A">
              <w:rPr>
                <w:rFonts w:ascii="Times New Roman" w:hAnsi="Times New Roman" w:cs="Times New Roman"/>
                <w:color w:val="000000" w:themeColor="dark1"/>
                <w:kern w:val="24"/>
              </w:rPr>
              <w:t>2</w:t>
            </w:r>
            <w:r w:rsidRPr="00014EF4">
              <w:rPr>
                <w:rFonts w:ascii="Times New Roman" w:hAnsi="Times New Roman" w:cs="Times New Roman"/>
                <w:color w:val="000000" w:themeColor="dark1"/>
                <w:kern w:val="24"/>
              </w:rPr>
              <w:t xml:space="preserve"> (</w:t>
            </w:r>
            <w:r w:rsidR="0062567F" w:rsidRPr="00014EF4">
              <w:rPr>
                <w:rFonts w:ascii="Times New Roman" w:hAnsi="Times New Roman" w:cs="Times New Roman"/>
                <w:color w:val="000000" w:themeColor="dark1"/>
                <w:kern w:val="24"/>
              </w:rPr>
              <w:t>5</w:t>
            </w:r>
            <w:r w:rsidRPr="00014EF4">
              <w:rPr>
                <w:rFonts w:ascii="Times New Roman" w:hAnsi="Times New Roman" w:cs="Times New Roman"/>
                <w:color w:val="000000" w:themeColor="dark1"/>
                <w:kern w:val="24"/>
              </w:rPr>
              <w:t>-2</w:t>
            </w:r>
            <w:r w:rsidR="00CB112A">
              <w:rPr>
                <w:rFonts w:ascii="Times New Roman" w:hAnsi="Times New Roman" w:cs="Times New Roman"/>
                <w:color w:val="000000" w:themeColor="dark1"/>
                <w:kern w:val="24"/>
              </w:rPr>
              <w:t>3</w:t>
            </w:r>
            <w:r w:rsidRPr="00014EF4">
              <w:rPr>
                <w:rFonts w:ascii="Times New Roman" w:hAnsi="Times New Roman" w:cs="Times New Roman"/>
                <w:color w:val="000000" w:themeColor="dark1"/>
                <w:kern w:val="24"/>
              </w:rPr>
              <w:t>)</w:t>
            </w:r>
          </w:p>
        </w:tc>
      </w:tr>
      <w:tr w:rsidR="00E715BA" w:rsidRPr="00014EF4" w14:paraId="6D08ECC7" w14:textId="77777777" w:rsidTr="00E715BA">
        <w:tc>
          <w:tcPr>
            <w:tcW w:w="2605" w:type="dxa"/>
          </w:tcPr>
          <w:p w14:paraId="6374A892" w14:textId="3772036F" w:rsidR="00E715BA" w:rsidRPr="00014EF4" w:rsidRDefault="00E715BA" w:rsidP="00393591">
            <w:pPr>
              <w:rPr>
                <w:rFonts w:ascii="Times New Roman" w:hAnsi="Times New Roman" w:cs="Times New Roman"/>
                <w:color w:val="000000" w:themeColor="text1"/>
              </w:rPr>
            </w:pPr>
            <w:r w:rsidRPr="00014EF4">
              <w:rPr>
                <w:rFonts w:ascii="Times New Roman" w:hAnsi="Times New Roman" w:cs="Times New Roman"/>
                <w:color w:val="000000" w:themeColor="text1"/>
              </w:rPr>
              <w:t>3</w:t>
            </w:r>
            <w:r w:rsidR="0062567F" w:rsidRPr="00014EF4">
              <w:rPr>
                <w:rFonts w:ascii="Times New Roman" w:hAnsi="Times New Roman" w:cs="Times New Roman"/>
                <w:color w:val="000000" w:themeColor="text1"/>
              </w:rPr>
              <w:t>0</w:t>
            </w:r>
          </w:p>
        </w:tc>
        <w:tc>
          <w:tcPr>
            <w:tcW w:w="2069" w:type="dxa"/>
          </w:tcPr>
          <w:p w14:paraId="0D73D2B1" w14:textId="4BBFBADA"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Severe</w:t>
            </w:r>
          </w:p>
        </w:tc>
        <w:tc>
          <w:tcPr>
            <w:tcW w:w="2071" w:type="dxa"/>
          </w:tcPr>
          <w:p w14:paraId="2F668820" w14:textId="092AE974" w:rsidR="00E715BA" w:rsidRPr="00014EF4" w:rsidRDefault="00E715BA" w:rsidP="00386B99">
            <w:pPr>
              <w:rPr>
                <w:rFonts w:ascii="Times New Roman" w:hAnsi="Times New Roman" w:cs="Times New Roman"/>
                <w:color w:val="000000" w:themeColor="text1"/>
              </w:rPr>
            </w:pPr>
            <w:r w:rsidRPr="00014EF4">
              <w:rPr>
                <w:rFonts w:ascii="Times New Roman" w:hAnsi="Times New Roman" w:cs="Times New Roman"/>
                <w:color w:val="000000" w:themeColor="text1"/>
                <w:kern w:val="24"/>
              </w:rPr>
              <w:t>2</w:t>
            </w:r>
          </w:p>
        </w:tc>
        <w:tc>
          <w:tcPr>
            <w:tcW w:w="2605" w:type="dxa"/>
          </w:tcPr>
          <w:p w14:paraId="0B80F378" w14:textId="45FB2AC2" w:rsidR="00E715BA" w:rsidRPr="00014EF4" w:rsidRDefault="0062567F" w:rsidP="00386B99">
            <w:pPr>
              <w:rPr>
                <w:rFonts w:ascii="Times New Roman" w:hAnsi="Times New Roman" w:cs="Times New Roman"/>
                <w:color w:val="000000" w:themeColor="text1"/>
              </w:rPr>
            </w:pPr>
            <w:r w:rsidRPr="00014EF4">
              <w:rPr>
                <w:rFonts w:ascii="Times New Roman" w:hAnsi="Times New Roman" w:cs="Times New Roman"/>
                <w:color w:val="000000" w:themeColor="text1"/>
              </w:rPr>
              <w:t>5</w:t>
            </w:r>
            <w:r w:rsidR="00E715BA" w:rsidRPr="00014EF4">
              <w:rPr>
                <w:rFonts w:ascii="Times New Roman" w:hAnsi="Times New Roman" w:cs="Times New Roman"/>
                <w:color w:val="000000" w:themeColor="text1"/>
              </w:rPr>
              <w:t xml:space="preserve"> (</w:t>
            </w:r>
            <w:r w:rsidRPr="00014EF4">
              <w:rPr>
                <w:rFonts w:ascii="Times New Roman" w:hAnsi="Times New Roman" w:cs="Times New Roman"/>
                <w:color w:val="000000" w:themeColor="text1"/>
              </w:rPr>
              <w:t>0</w:t>
            </w:r>
            <w:r w:rsidR="00E715BA" w:rsidRPr="00014EF4">
              <w:rPr>
                <w:rFonts w:ascii="Times New Roman" w:hAnsi="Times New Roman" w:cs="Times New Roman"/>
                <w:color w:val="000000" w:themeColor="text1"/>
              </w:rPr>
              <w:t>-1</w:t>
            </w:r>
            <w:r w:rsidR="00CB112A">
              <w:rPr>
                <w:rFonts w:ascii="Times New Roman" w:hAnsi="Times New Roman" w:cs="Times New Roman"/>
                <w:color w:val="000000" w:themeColor="text1"/>
              </w:rPr>
              <w:t>2</w:t>
            </w:r>
            <w:r w:rsidR="00E715BA" w:rsidRPr="00014EF4">
              <w:rPr>
                <w:rFonts w:ascii="Times New Roman" w:hAnsi="Times New Roman" w:cs="Times New Roman"/>
                <w:color w:val="000000" w:themeColor="text1"/>
              </w:rPr>
              <w:t>)</w:t>
            </w:r>
          </w:p>
        </w:tc>
      </w:tr>
    </w:tbl>
    <w:p w14:paraId="0A707240" w14:textId="77777777" w:rsidR="00A67BF3" w:rsidRPr="00014EF4" w:rsidRDefault="00A67BF3" w:rsidP="00393591">
      <w:pPr>
        <w:rPr>
          <w:rFonts w:ascii="Times New Roman" w:hAnsi="Times New Roman" w:cs="Times New Roman"/>
        </w:rPr>
      </w:pPr>
    </w:p>
    <w:p w14:paraId="16DBC0B8"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br w:type="page"/>
      </w:r>
    </w:p>
    <w:p w14:paraId="2EA066C8" w14:textId="77777777" w:rsidR="000200EA" w:rsidRDefault="00DA3D40">
      <w:pPr>
        <w:rPr>
          <w:rFonts w:cs="Times New Roman"/>
          <w:i/>
          <w:iCs/>
        </w:rPr>
      </w:pPr>
      <w:r w:rsidRPr="006941F2">
        <w:rPr>
          <w:rStyle w:val="Heading2Char"/>
          <w:rFonts w:ascii="Times New Roman" w:hAnsi="Times New Roman" w:cs="Times New Roman"/>
          <w:b/>
          <w:iCs/>
          <w:color w:val="auto"/>
          <w:sz w:val="24"/>
          <w:szCs w:val="24"/>
        </w:rPr>
        <w:lastRenderedPageBreak/>
        <w:t>Supplemental Table 10</w:t>
      </w:r>
      <w:r w:rsidR="000200EA">
        <w:rPr>
          <w:rFonts w:ascii="Times New Roman" w:hAnsi="Times New Roman" w:cs="Times New Roman"/>
          <w:b/>
        </w:rPr>
        <w:t xml:space="preserve"> </w:t>
      </w:r>
      <w:r w:rsidR="000200EA" w:rsidRPr="006941F2">
        <w:rPr>
          <w:rFonts w:ascii="Times New Roman" w:hAnsi="Times New Roman" w:cs="Times New Roman"/>
        </w:rPr>
        <w:t>PK-based efficacy metrics for a range of reported MIC</w:t>
      </w:r>
      <w:r w:rsidR="000200EA" w:rsidRPr="006941F2">
        <w:rPr>
          <w:rFonts w:ascii="Times New Roman" w:hAnsi="Times New Roman" w:cs="Times New Roman"/>
          <w:vertAlign w:val="subscript"/>
        </w:rPr>
        <w:t xml:space="preserve">90 </w:t>
      </w:r>
      <w:r w:rsidR="000200EA" w:rsidRPr="006941F2">
        <w:rPr>
          <w:rFonts w:ascii="Times New Roman" w:hAnsi="Times New Roman" w:cs="Times New Roman"/>
        </w:rPr>
        <w:t>values.</w:t>
      </w:r>
      <w:r w:rsidR="000200EA" w:rsidRPr="000200EA">
        <w:rPr>
          <w:rFonts w:ascii="Times New Roman" w:hAnsi="Times New Roman" w:cs="Times New Roman"/>
          <w:b/>
        </w:rPr>
        <w:t xml:space="preserve"> </w:t>
      </w:r>
      <w:r>
        <w:rPr>
          <w:rFonts w:cs="Times New Roman"/>
          <w:i/>
          <w:iCs/>
        </w:rPr>
        <w:t xml:space="preserve"> </w:t>
      </w:r>
    </w:p>
    <w:p w14:paraId="7407CC21" w14:textId="77777777" w:rsidR="000200EA" w:rsidRDefault="000200EA">
      <w:pPr>
        <w:rPr>
          <w:rFonts w:cs="Times New Roman"/>
          <w:i/>
          <w:iCs/>
        </w:rPr>
      </w:pPr>
    </w:p>
    <w:tbl>
      <w:tblPr>
        <w:tblStyle w:val="TableGrid"/>
        <w:tblW w:w="0" w:type="auto"/>
        <w:tblLook w:val="04A0" w:firstRow="1" w:lastRow="0" w:firstColumn="1" w:lastColumn="0" w:noHBand="0" w:noVBand="1"/>
      </w:tblPr>
      <w:tblGrid>
        <w:gridCol w:w="2337"/>
        <w:gridCol w:w="1888"/>
        <w:gridCol w:w="2250"/>
        <w:gridCol w:w="2875"/>
      </w:tblGrid>
      <w:tr w:rsidR="000200EA" w:rsidRPr="000200EA" w14:paraId="03E1EAC8" w14:textId="77777777" w:rsidTr="000200EA">
        <w:tc>
          <w:tcPr>
            <w:tcW w:w="2337" w:type="dxa"/>
          </w:tcPr>
          <w:p w14:paraId="15E000C5" w14:textId="77777777" w:rsidR="000200EA" w:rsidRPr="006941F2" w:rsidRDefault="000200EA" w:rsidP="000200EA">
            <w:pPr>
              <w:rPr>
                <w:rFonts w:ascii="Times New Roman" w:hAnsi="Times New Roman" w:cs="Times New Roman"/>
                <w:b/>
                <w:iCs/>
                <w:vertAlign w:val="subscript"/>
              </w:rPr>
            </w:pPr>
            <w:r w:rsidRPr="006941F2">
              <w:rPr>
                <w:rFonts w:ascii="Times New Roman" w:hAnsi="Times New Roman" w:cs="Times New Roman"/>
                <w:b/>
                <w:iCs/>
              </w:rPr>
              <w:t xml:space="preserve">Daily dosage  </w:t>
            </w:r>
          </w:p>
        </w:tc>
        <w:tc>
          <w:tcPr>
            <w:tcW w:w="1888" w:type="dxa"/>
          </w:tcPr>
          <w:p w14:paraId="4D8A4AF3" w14:textId="77777777" w:rsidR="000200EA" w:rsidRPr="006941F2" w:rsidRDefault="000200EA" w:rsidP="000200EA">
            <w:pPr>
              <w:rPr>
                <w:rFonts w:ascii="Times New Roman" w:hAnsi="Times New Roman" w:cs="Times New Roman"/>
                <w:b/>
                <w:iCs/>
              </w:rPr>
            </w:pPr>
            <w:r w:rsidRPr="006941F2">
              <w:rPr>
                <w:rFonts w:ascii="Times New Roman" w:hAnsi="Times New Roman" w:cs="Times New Roman"/>
                <w:b/>
                <w:iCs/>
              </w:rPr>
              <w:t>MIC</w:t>
            </w:r>
            <w:r w:rsidRPr="006941F2">
              <w:rPr>
                <w:rFonts w:ascii="Times New Roman" w:hAnsi="Times New Roman" w:cs="Times New Roman"/>
                <w:b/>
                <w:iCs/>
                <w:vertAlign w:val="subscript"/>
              </w:rPr>
              <w:t xml:space="preserve">90 </w:t>
            </w:r>
            <w:r w:rsidRPr="006941F2">
              <w:rPr>
                <w:rFonts w:ascii="Times New Roman" w:hAnsi="Times New Roman" w:cs="Times New Roman"/>
                <w:b/>
                <w:iCs/>
              </w:rPr>
              <w:t xml:space="preserve">(mg/L) </w:t>
            </w:r>
          </w:p>
        </w:tc>
        <w:tc>
          <w:tcPr>
            <w:tcW w:w="2250" w:type="dxa"/>
          </w:tcPr>
          <w:p w14:paraId="4D6A2DC2" w14:textId="77777777" w:rsidR="000200EA" w:rsidRPr="006941F2" w:rsidRDefault="000200EA" w:rsidP="000200EA">
            <w:pPr>
              <w:rPr>
                <w:rFonts w:ascii="Times New Roman" w:hAnsi="Times New Roman" w:cs="Times New Roman"/>
                <w:b/>
                <w:iCs/>
                <w:vertAlign w:val="subscript"/>
              </w:rPr>
            </w:pPr>
            <w:r w:rsidRPr="006941F2">
              <w:rPr>
                <w:rFonts w:ascii="Times New Roman" w:hAnsi="Times New Roman" w:cs="Times New Roman"/>
                <w:b/>
                <w:iCs/>
              </w:rPr>
              <w:t>%fT&gt;MIC</w:t>
            </w:r>
            <w:r w:rsidRPr="006941F2">
              <w:rPr>
                <w:rFonts w:ascii="Times New Roman" w:hAnsi="Times New Roman" w:cs="Times New Roman"/>
                <w:b/>
                <w:iCs/>
                <w:vertAlign w:val="subscript"/>
              </w:rPr>
              <w:t>90</w:t>
            </w:r>
          </w:p>
          <w:p w14:paraId="7D6A5160" w14:textId="77777777" w:rsidR="000200EA" w:rsidRPr="006941F2" w:rsidRDefault="000200EA" w:rsidP="000200EA">
            <w:pPr>
              <w:rPr>
                <w:rFonts w:ascii="Times New Roman" w:hAnsi="Times New Roman" w:cs="Times New Roman"/>
                <w:b/>
                <w:iCs/>
              </w:rPr>
            </w:pPr>
            <w:r w:rsidRPr="006941F2">
              <w:rPr>
                <w:rFonts w:ascii="Times New Roman" w:hAnsi="Times New Roman" w:cs="Times New Roman"/>
                <w:b/>
                <w:iCs/>
              </w:rPr>
              <w:t xml:space="preserve">Median (90% CI) </w:t>
            </w:r>
          </w:p>
        </w:tc>
        <w:tc>
          <w:tcPr>
            <w:tcW w:w="2875" w:type="dxa"/>
          </w:tcPr>
          <w:p w14:paraId="72C0D146" w14:textId="77777777" w:rsidR="000200EA" w:rsidRPr="006941F2" w:rsidRDefault="000200EA" w:rsidP="000200EA">
            <w:pPr>
              <w:rPr>
                <w:rFonts w:ascii="Times New Roman" w:hAnsi="Times New Roman" w:cs="Times New Roman"/>
                <w:b/>
                <w:iCs/>
              </w:rPr>
            </w:pPr>
            <w:r w:rsidRPr="006941F2">
              <w:rPr>
                <w:rFonts w:ascii="Times New Roman" w:hAnsi="Times New Roman" w:cs="Times New Roman"/>
                <w:b/>
                <w:iCs/>
              </w:rPr>
              <w:t>Percent of patients with fAUC/MIC</w:t>
            </w:r>
            <w:r w:rsidRPr="006941F2">
              <w:rPr>
                <w:rFonts w:ascii="Times New Roman" w:hAnsi="Times New Roman" w:cs="Times New Roman"/>
                <w:b/>
                <w:iCs/>
                <w:vertAlign w:val="subscript"/>
              </w:rPr>
              <w:t>90</w:t>
            </w:r>
            <w:r w:rsidRPr="006941F2">
              <w:rPr>
                <w:rFonts w:ascii="Times New Roman" w:hAnsi="Times New Roman" w:cs="Times New Roman"/>
                <w:b/>
                <w:iCs/>
              </w:rPr>
              <w:t xml:space="preserve"> &gt; 119</w:t>
            </w:r>
          </w:p>
          <w:p w14:paraId="6A295EF1" w14:textId="77777777" w:rsidR="000200EA" w:rsidRPr="006941F2" w:rsidRDefault="000200EA" w:rsidP="000200EA">
            <w:pPr>
              <w:rPr>
                <w:rFonts w:ascii="Times New Roman" w:hAnsi="Times New Roman" w:cs="Times New Roman"/>
                <w:b/>
                <w:iCs/>
              </w:rPr>
            </w:pPr>
            <w:r w:rsidRPr="006941F2">
              <w:rPr>
                <w:rFonts w:ascii="Times New Roman" w:hAnsi="Times New Roman" w:cs="Times New Roman"/>
                <w:b/>
                <w:iCs/>
              </w:rPr>
              <w:t xml:space="preserve">Median (90% CI) </w:t>
            </w:r>
          </w:p>
        </w:tc>
      </w:tr>
      <w:tr w:rsidR="000200EA" w:rsidRPr="000200EA" w14:paraId="74CC0D0A" w14:textId="77777777" w:rsidTr="000200EA">
        <w:tc>
          <w:tcPr>
            <w:tcW w:w="2337" w:type="dxa"/>
            <w:vMerge w:val="restart"/>
          </w:tcPr>
          <w:p w14:paraId="4A0B38FF"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300 mg twice daily </w:t>
            </w:r>
          </w:p>
        </w:tc>
        <w:tc>
          <w:tcPr>
            <w:tcW w:w="1888" w:type="dxa"/>
          </w:tcPr>
          <w:p w14:paraId="2B966B06"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0.125 </w:t>
            </w:r>
          </w:p>
        </w:tc>
        <w:tc>
          <w:tcPr>
            <w:tcW w:w="2250" w:type="dxa"/>
          </w:tcPr>
          <w:p w14:paraId="44949D98"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c>
          <w:tcPr>
            <w:tcW w:w="2875" w:type="dxa"/>
          </w:tcPr>
          <w:p w14:paraId="146EB6F3"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r>
      <w:tr w:rsidR="000200EA" w:rsidRPr="000200EA" w14:paraId="5DD34E2C" w14:textId="77777777" w:rsidTr="000200EA">
        <w:tc>
          <w:tcPr>
            <w:tcW w:w="2337" w:type="dxa"/>
            <w:vMerge/>
          </w:tcPr>
          <w:p w14:paraId="57C54AD8" w14:textId="77777777" w:rsidR="000200EA" w:rsidRPr="006941F2" w:rsidRDefault="000200EA" w:rsidP="000200EA">
            <w:pPr>
              <w:rPr>
                <w:rFonts w:ascii="Times New Roman" w:hAnsi="Times New Roman" w:cs="Times New Roman"/>
                <w:iCs/>
              </w:rPr>
            </w:pPr>
          </w:p>
        </w:tc>
        <w:tc>
          <w:tcPr>
            <w:tcW w:w="1888" w:type="dxa"/>
          </w:tcPr>
          <w:p w14:paraId="46D528D8"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0.5  </w:t>
            </w:r>
          </w:p>
        </w:tc>
        <w:tc>
          <w:tcPr>
            <w:tcW w:w="2250" w:type="dxa"/>
          </w:tcPr>
          <w:p w14:paraId="7A8CC147"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(79-100)</w:t>
            </w:r>
          </w:p>
        </w:tc>
        <w:tc>
          <w:tcPr>
            <w:tcW w:w="2875" w:type="dxa"/>
          </w:tcPr>
          <w:p w14:paraId="04DFC6B2"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56 (52-59)</w:t>
            </w:r>
          </w:p>
        </w:tc>
      </w:tr>
      <w:tr w:rsidR="000200EA" w:rsidRPr="000200EA" w14:paraId="0A6C1B60" w14:textId="77777777" w:rsidTr="000200EA">
        <w:tc>
          <w:tcPr>
            <w:tcW w:w="2337" w:type="dxa"/>
            <w:vMerge/>
          </w:tcPr>
          <w:p w14:paraId="112AA7A7" w14:textId="77777777" w:rsidR="000200EA" w:rsidRPr="006941F2" w:rsidRDefault="000200EA" w:rsidP="000200EA">
            <w:pPr>
              <w:rPr>
                <w:rFonts w:ascii="Times New Roman" w:hAnsi="Times New Roman" w:cs="Times New Roman"/>
                <w:iCs/>
              </w:rPr>
            </w:pPr>
          </w:p>
        </w:tc>
        <w:tc>
          <w:tcPr>
            <w:tcW w:w="1888" w:type="dxa"/>
          </w:tcPr>
          <w:p w14:paraId="2C6E71E2"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1 </w:t>
            </w:r>
          </w:p>
        </w:tc>
        <w:tc>
          <w:tcPr>
            <w:tcW w:w="2250" w:type="dxa"/>
          </w:tcPr>
          <w:p w14:paraId="2413B821"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100 (54-100) </w:t>
            </w:r>
          </w:p>
        </w:tc>
        <w:tc>
          <w:tcPr>
            <w:tcW w:w="2875" w:type="dxa"/>
          </w:tcPr>
          <w:p w14:paraId="238B9957"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8 (6-9)</w:t>
            </w:r>
          </w:p>
        </w:tc>
      </w:tr>
      <w:tr w:rsidR="000200EA" w:rsidRPr="000200EA" w14:paraId="3B488E0A" w14:textId="77777777" w:rsidTr="000200EA">
        <w:tc>
          <w:tcPr>
            <w:tcW w:w="2337" w:type="dxa"/>
            <w:vMerge w:val="restart"/>
          </w:tcPr>
          <w:p w14:paraId="6715C9A2"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600 mg once daily </w:t>
            </w:r>
          </w:p>
        </w:tc>
        <w:tc>
          <w:tcPr>
            <w:tcW w:w="1888" w:type="dxa"/>
          </w:tcPr>
          <w:p w14:paraId="49E5325A"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0.125</w:t>
            </w:r>
          </w:p>
        </w:tc>
        <w:tc>
          <w:tcPr>
            <w:tcW w:w="2250" w:type="dxa"/>
          </w:tcPr>
          <w:p w14:paraId="78C9931D"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100 (96-100) </w:t>
            </w:r>
          </w:p>
        </w:tc>
        <w:tc>
          <w:tcPr>
            <w:tcW w:w="2875" w:type="dxa"/>
          </w:tcPr>
          <w:p w14:paraId="681DB95E"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r>
      <w:tr w:rsidR="000200EA" w:rsidRPr="000200EA" w14:paraId="39F3CF83" w14:textId="77777777" w:rsidTr="000200EA">
        <w:tc>
          <w:tcPr>
            <w:tcW w:w="2337" w:type="dxa"/>
            <w:vMerge/>
          </w:tcPr>
          <w:p w14:paraId="2D66384E" w14:textId="77777777" w:rsidR="000200EA" w:rsidRPr="006941F2" w:rsidRDefault="000200EA" w:rsidP="000200EA">
            <w:pPr>
              <w:rPr>
                <w:rFonts w:ascii="Times New Roman" w:hAnsi="Times New Roman" w:cs="Times New Roman"/>
                <w:iCs/>
              </w:rPr>
            </w:pPr>
          </w:p>
        </w:tc>
        <w:tc>
          <w:tcPr>
            <w:tcW w:w="1888" w:type="dxa"/>
          </w:tcPr>
          <w:p w14:paraId="458AD4D6"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0.5</w:t>
            </w:r>
          </w:p>
        </w:tc>
        <w:tc>
          <w:tcPr>
            <w:tcW w:w="2250" w:type="dxa"/>
          </w:tcPr>
          <w:p w14:paraId="7A140109"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(56-100)</w:t>
            </w:r>
          </w:p>
        </w:tc>
        <w:tc>
          <w:tcPr>
            <w:tcW w:w="2875" w:type="dxa"/>
          </w:tcPr>
          <w:p w14:paraId="6C78BAAA"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64 (62-68)</w:t>
            </w:r>
          </w:p>
        </w:tc>
      </w:tr>
      <w:tr w:rsidR="000200EA" w:rsidRPr="000200EA" w14:paraId="6592E80D" w14:textId="77777777" w:rsidTr="000200EA">
        <w:tc>
          <w:tcPr>
            <w:tcW w:w="2337" w:type="dxa"/>
            <w:vMerge/>
          </w:tcPr>
          <w:p w14:paraId="400430B3" w14:textId="77777777" w:rsidR="000200EA" w:rsidRPr="006941F2" w:rsidRDefault="000200EA" w:rsidP="000200EA">
            <w:pPr>
              <w:rPr>
                <w:rFonts w:ascii="Times New Roman" w:hAnsi="Times New Roman" w:cs="Times New Roman"/>
                <w:iCs/>
              </w:rPr>
            </w:pPr>
          </w:p>
        </w:tc>
        <w:tc>
          <w:tcPr>
            <w:tcW w:w="1888" w:type="dxa"/>
          </w:tcPr>
          <w:p w14:paraId="7BCD2927"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w:t>
            </w:r>
          </w:p>
        </w:tc>
        <w:tc>
          <w:tcPr>
            <w:tcW w:w="2250" w:type="dxa"/>
          </w:tcPr>
          <w:p w14:paraId="08B0AD1D"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83 (44-100)</w:t>
            </w:r>
          </w:p>
        </w:tc>
        <w:tc>
          <w:tcPr>
            <w:tcW w:w="2875" w:type="dxa"/>
          </w:tcPr>
          <w:p w14:paraId="7CEDF365"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6 (4-8)</w:t>
            </w:r>
          </w:p>
        </w:tc>
      </w:tr>
      <w:tr w:rsidR="000200EA" w:rsidRPr="000200EA" w14:paraId="2E12A05C" w14:textId="77777777" w:rsidTr="000200EA">
        <w:tc>
          <w:tcPr>
            <w:tcW w:w="2337" w:type="dxa"/>
            <w:vMerge w:val="restart"/>
          </w:tcPr>
          <w:p w14:paraId="2FBCFE63"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600 mg twice daily </w:t>
            </w:r>
          </w:p>
        </w:tc>
        <w:tc>
          <w:tcPr>
            <w:tcW w:w="1888" w:type="dxa"/>
          </w:tcPr>
          <w:p w14:paraId="0077F356"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0.125</w:t>
            </w:r>
          </w:p>
        </w:tc>
        <w:tc>
          <w:tcPr>
            <w:tcW w:w="2250" w:type="dxa"/>
          </w:tcPr>
          <w:p w14:paraId="14BED5C7"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c>
          <w:tcPr>
            <w:tcW w:w="2875" w:type="dxa"/>
          </w:tcPr>
          <w:p w14:paraId="781BFB39"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r>
      <w:tr w:rsidR="000200EA" w:rsidRPr="000200EA" w14:paraId="35D97394" w14:textId="77777777" w:rsidTr="000200EA">
        <w:tc>
          <w:tcPr>
            <w:tcW w:w="2337" w:type="dxa"/>
            <w:vMerge/>
          </w:tcPr>
          <w:p w14:paraId="5DE756F6" w14:textId="77777777" w:rsidR="000200EA" w:rsidRPr="006941F2" w:rsidRDefault="000200EA" w:rsidP="000200EA">
            <w:pPr>
              <w:rPr>
                <w:rFonts w:ascii="Times New Roman" w:hAnsi="Times New Roman" w:cs="Times New Roman"/>
                <w:iCs/>
              </w:rPr>
            </w:pPr>
          </w:p>
        </w:tc>
        <w:tc>
          <w:tcPr>
            <w:tcW w:w="1888" w:type="dxa"/>
          </w:tcPr>
          <w:p w14:paraId="0EFFFAD4"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0.5</w:t>
            </w:r>
          </w:p>
        </w:tc>
        <w:tc>
          <w:tcPr>
            <w:tcW w:w="2250" w:type="dxa"/>
          </w:tcPr>
          <w:p w14:paraId="0D465A3B"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c>
          <w:tcPr>
            <w:tcW w:w="2875" w:type="dxa"/>
          </w:tcPr>
          <w:p w14:paraId="5F003A49"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99 (99-100)</w:t>
            </w:r>
          </w:p>
        </w:tc>
      </w:tr>
      <w:tr w:rsidR="000200EA" w:rsidRPr="000200EA" w14:paraId="5FFD329C" w14:textId="77777777" w:rsidTr="000200EA">
        <w:tc>
          <w:tcPr>
            <w:tcW w:w="2337" w:type="dxa"/>
            <w:vMerge/>
          </w:tcPr>
          <w:p w14:paraId="0532EAA5" w14:textId="77777777" w:rsidR="000200EA" w:rsidRPr="006941F2" w:rsidRDefault="000200EA" w:rsidP="000200EA">
            <w:pPr>
              <w:rPr>
                <w:rFonts w:ascii="Times New Roman" w:hAnsi="Times New Roman" w:cs="Times New Roman"/>
                <w:iCs/>
              </w:rPr>
            </w:pPr>
          </w:p>
        </w:tc>
        <w:tc>
          <w:tcPr>
            <w:tcW w:w="1888" w:type="dxa"/>
          </w:tcPr>
          <w:p w14:paraId="0D607D0F"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w:t>
            </w:r>
          </w:p>
        </w:tc>
        <w:tc>
          <w:tcPr>
            <w:tcW w:w="2250" w:type="dxa"/>
          </w:tcPr>
          <w:p w14:paraId="49AA5601"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100 (96-100) </w:t>
            </w:r>
          </w:p>
        </w:tc>
        <w:tc>
          <w:tcPr>
            <w:tcW w:w="2875" w:type="dxa"/>
          </w:tcPr>
          <w:p w14:paraId="26B24EFD"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78 (75-81) </w:t>
            </w:r>
          </w:p>
        </w:tc>
      </w:tr>
      <w:tr w:rsidR="000200EA" w:rsidRPr="000200EA" w14:paraId="3A3355BE" w14:textId="77777777" w:rsidTr="000200EA">
        <w:tc>
          <w:tcPr>
            <w:tcW w:w="2337" w:type="dxa"/>
            <w:vMerge w:val="restart"/>
          </w:tcPr>
          <w:p w14:paraId="3A1C6F36"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1200 mg once daily </w:t>
            </w:r>
          </w:p>
        </w:tc>
        <w:tc>
          <w:tcPr>
            <w:tcW w:w="1888" w:type="dxa"/>
          </w:tcPr>
          <w:p w14:paraId="6FE34008"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0.125</w:t>
            </w:r>
          </w:p>
        </w:tc>
        <w:tc>
          <w:tcPr>
            <w:tcW w:w="2250" w:type="dxa"/>
          </w:tcPr>
          <w:p w14:paraId="7C1C75CD"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c>
          <w:tcPr>
            <w:tcW w:w="2875" w:type="dxa"/>
          </w:tcPr>
          <w:p w14:paraId="6AE04643"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(100-100)</w:t>
            </w:r>
          </w:p>
        </w:tc>
      </w:tr>
      <w:tr w:rsidR="000200EA" w:rsidRPr="000200EA" w14:paraId="123EDD2A" w14:textId="77777777" w:rsidTr="000200EA">
        <w:tc>
          <w:tcPr>
            <w:tcW w:w="2337" w:type="dxa"/>
            <w:vMerge/>
          </w:tcPr>
          <w:p w14:paraId="11C1EC49" w14:textId="77777777" w:rsidR="000200EA" w:rsidRPr="006941F2" w:rsidRDefault="000200EA" w:rsidP="000200EA">
            <w:pPr>
              <w:rPr>
                <w:rFonts w:ascii="Times New Roman" w:hAnsi="Times New Roman" w:cs="Times New Roman"/>
                <w:iCs/>
              </w:rPr>
            </w:pPr>
          </w:p>
        </w:tc>
        <w:tc>
          <w:tcPr>
            <w:tcW w:w="1888" w:type="dxa"/>
          </w:tcPr>
          <w:p w14:paraId="57926FCE"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0.5</w:t>
            </w:r>
          </w:p>
        </w:tc>
        <w:tc>
          <w:tcPr>
            <w:tcW w:w="2250" w:type="dxa"/>
          </w:tcPr>
          <w:p w14:paraId="27D81006"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(86-100)</w:t>
            </w:r>
          </w:p>
        </w:tc>
        <w:tc>
          <w:tcPr>
            <w:tcW w:w="2875" w:type="dxa"/>
          </w:tcPr>
          <w:p w14:paraId="26EB7605"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100 (99-100)</w:t>
            </w:r>
          </w:p>
        </w:tc>
      </w:tr>
      <w:tr w:rsidR="000200EA" w:rsidRPr="000200EA" w14:paraId="379ED9EA" w14:textId="77777777" w:rsidTr="000200EA">
        <w:tc>
          <w:tcPr>
            <w:tcW w:w="2337" w:type="dxa"/>
            <w:vMerge/>
          </w:tcPr>
          <w:p w14:paraId="6165C9BD" w14:textId="77777777" w:rsidR="000200EA" w:rsidRPr="006941F2" w:rsidRDefault="000200EA" w:rsidP="000200EA">
            <w:pPr>
              <w:rPr>
                <w:rFonts w:ascii="Times New Roman" w:hAnsi="Times New Roman" w:cs="Times New Roman"/>
                <w:iCs/>
              </w:rPr>
            </w:pPr>
          </w:p>
        </w:tc>
        <w:tc>
          <w:tcPr>
            <w:tcW w:w="1888" w:type="dxa"/>
          </w:tcPr>
          <w:p w14:paraId="18F93D57"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1</w:t>
            </w:r>
          </w:p>
        </w:tc>
        <w:tc>
          <w:tcPr>
            <w:tcW w:w="2250" w:type="dxa"/>
          </w:tcPr>
          <w:p w14:paraId="2CB2F8BD"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100 (69-100) </w:t>
            </w:r>
          </w:p>
        </w:tc>
        <w:tc>
          <w:tcPr>
            <w:tcW w:w="2875" w:type="dxa"/>
          </w:tcPr>
          <w:p w14:paraId="68FD4519" w14:textId="77777777" w:rsidR="000200EA" w:rsidRPr="006941F2" w:rsidRDefault="000200EA" w:rsidP="000200EA">
            <w:pPr>
              <w:rPr>
                <w:rFonts w:ascii="Times New Roman" w:hAnsi="Times New Roman" w:cs="Times New Roman"/>
                <w:iCs/>
              </w:rPr>
            </w:pPr>
            <w:r w:rsidRPr="006941F2">
              <w:rPr>
                <w:rFonts w:ascii="Times New Roman" w:hAnsi="Times New Roman" w:cs="Times New Roman"/>
                <w:iCs/>
              </w:rPr>
              <w:t xml:space="preserve">86 (83-88) </w:t>
            </w:r>
          </w:p>
        </w:tc>
      </w:tr>
    </w:tbl>
    <w:p w14:paraId="34C01178" w14:textId="1A48C059" w:rsidR="00DA3D40" w:rsidRDefault="00DA3D40">
      <w:pPr>
        <w:rPr>
          <w:rFonts w:ascii="Times New Roman" w:hAnsi="Times New Roman" w:cs="Times New Roman"/>
          <w:b/>
        </w:rPr>
      </w:pPr>
      <w:r>
        <w:rPr>
          <w:rFonts w:cs="Times New Roman"/>
          <w:i/>
          <w:iCs/>
        </w:rPr>
        <w:br w:type="page"/>
      </w:r>
    </w:p>
    <w:p w14:paraId="077D008E" w14:textId="4FA4344F" w:rsidR="00A67BF3" w:rsidRPr="00014EF4" w:rsidRDefault="00990105" w:rsidP="00386B99">
      <w:pPr>
        <w:pStyle w:val="captions"/>
        <w:jc w:val="both"/>
        <w:rPr>
          <w:rFonts w:cs="Times New Roman"/>
          <w:b w:val="0"/>
          <w:i w:val="0"/>
          <w:sz w:val="24"/>
          <w:szCs w:val="24"/>
        </w:rPr>
      </w:pPr>
      <w:r w:rsidRPr="006941F2">
        <w:rPr>
          <w:rStyle w:val="Heading2Char"/>
          <w:rFonts w:ascii="Times New Roman" w:hAnsi="Times New Roman" w:cs="Times New Roman"/>
          <w:i w:val="0"/>
          <w:color w:val="auto"/>
          <w:sz w:val="24"/>
          <w:szCs w:val="24"/>
        </w:rPr>
        <w:lastRenderedPageBreak/>
        <w:t>Supplemental Table 1</w:t>
      </w:r>
      <w:r w:rsidR="00DA3D40" w:rsidRPr="006941F2">
        <w:rPr>
          <w:rStyle w:val="Heading2Char"/>
          <w:rFonts w:ascii="Times New Roman" w:hAnsi="Times New Roman" w:cs="Times New Roman"/>
          <w:i w:val="0"/>
          <w:color w:val="auto"/>
          <w:sz w:val="24"/>
          <w:szCs w:val="24"/>
        </w:rPr>
        <w:t>1</w:t>
      </w:r>
      <w:r>
        <w:rPr>
          <w:rFonts w:eastAsiaTheme="minorHAnsi" w:cs="Times New Roman"/>
          <w:i w:val="0"/>
          <w:iCs w:val="0"/>
          <w:color w:val="auto"/>
          <w:sz w:val="24"/>
          <w:szCs w:val="24"/>
        </w:rPr>
        <w:t xml:space="preserve"> </w:t>
      </w:r>
      <w:r w:rsidR="008160A7" w:rsidRPr="00014EF4">
        <w:rPr>
          <w:rFonts w:cs="Times New Roman"/>
          <w:b w:val="0"/>
          <w:i w:val="0"/>
          <w:sz w:val="24"/>
          <w:szCs w:val="24"/>
        </w:rPr>
        <w:t>AUROC</w:t>
      </w:r>
      <w:r w:rsidR="00A67BF3" w:rsidRPr="00014EF4">
        <w:rPr>
          <w:rFonts w:cs="Times New Roman"/>
          <w:b w:val="0"/>
          <w:i w:val="0"/>
          <w:sz w:val="24"/>
          <w:szCs w:val="24"/>
        </w:rPr>
        <w:t xml:space="preserve"> for univariate </w:t>
      </w:r>
      <w:r w:rsidR="008160A7" w:rsidRPr="00014EF4">
        <w:rPr>
          <w:rFonts w:cs="Times New Roman"/>
          <w:b w:val="0"/>
          <w:i w:val="0"/>
          <w:sz w:val="24"/>
          <w:szCs w:val="24"/>
        </w:rPr>
        <w:t>Cox regression models</w:t>
      </w:r>
      <w:r w:rsidR="00A67BF3" w:rsidRPr="00014EF4">
        <w:rPr>
          <w:rFonts w:cs="Times New Roman"/>
          <w:b w:val="0"/>
          <w:i w:val="0"/>
          <w:sz w:val="24"/>
          <w:szCs w:val="24"/>
        </w:rPr>
        <w:t xml:space="preserve"> for prediction of </w:t>
      </w:r>
      <w:r w:rsidR="008160A7" w:rsidRPr="00014EF4">
        <w:rPr>
          <w:rFonts w:cs="Times New Roman"/>
          <w:b w:val="0"/>
          <w:i w:val="0"/>
          <w:sz w:val="24"/>
          <w:szCs w:val="24"/>
        </w:rPr>
        <w:t>investigator-</w:t>
      </w:r>
      <w:r w:rsidR="00A67BF3" w:rsidRPr="00014EF4">
        <w:rPr>
          <w:rFonts w:cs="Times New Roman"/>
          <w:b w:val="0"/>
          <w:i w:val="0"/>
          <w:sz w:val="24"/>
          <w:szCs w:val="24"/>
        </w:rPr>
        <w:t>reported anemia adverse events.</w:t>
      </w:r>
      <w:r w:rsidR="009659D7" w:rsidRPr="00014EF4">
        <w:rPr>
          <w:rFonts w:cs="Times New Roman"/>
          <w:b w:val="0"/>
          <w:i w:val="0"/>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2250"/>
      </w:tblGrid>
      <w:tr w:rsidR="00A67BF3" w:rsidRPr="00014EF4" w14:paraId="38304B97" w14:textId="77777777" w:rsidTr="00923C47">
        <w:trPr>
          <w:trHeight w:val="758"/>
        </w:trPr>
        <w:tc>
          <w:tcPr>
            <w:tcW w:w="4045" w:type="dxa"/>
          </w:tcPr>
          <w:p w14:paraId="618AF36B"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 xml:space="preserve">Model </w:t>
            </w:r>
          </w:p>
        </w:tc>
        <w:tc>
          <w:tcPr>
            <w:tcW w:w="2250" w:type="dxa"/>
          </w:tcPr>
          <w:p w14:paraId="2AA933AD" w14:textId="77777777" w:rsidR="00A67BF3" w:rsidRPr="00014EF4" w:rsidRDefault="00A67BF3" w:rsidP="00386B99">
            <w:pPr>
              <w:rPr>
                <w:rFonts w:ascii="Times New Roman" w:hAnsi="Times New Roman" w:cs="Times New Roman"/>
                <w:b/>
              </w:rPr>
            </w:pPr>
            <w:r w:rsidRPr="00014EF4">
              <w:rPr>
                <w:rFonts w:ascii="Times New Roman" w:hAnsi="Times New Roman" w:cs="Times New Roman"/>
                <w:b/>
              </w:rPr>
              <w:t>AUROC (90% confidence interval)</w:t>
            </w:r>
          </w:p>
        </w:tc>
      </w:tr>
      <w:tr w:rsidR="00A67BF3" w:rsidRPr="00014EF4" w14:paraId="17877A5D" w14:textId="77777777" w:rsidTr="00923C47">
        <w:trPr>
          <w:trHeight w:val="70"/>
        </w:trPr>
        <w:tc>
          <w:tcPr>
            <w:tcW w:w="4045" w:type="dxa"/>
          </w:tcPr>
          <w:p w14:paraId="2FD0AE3B"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BMI</w:t>
            </w:r>
          </w:p>
        </w:tc>
        <w:tc>
          <w:tcPr>
            <w:tcW w:w="2250" w:type="dxa"/>
          </w:tcPr>
          <w:p w14:paraId="73B8E71F"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0.50 (0.39-0.61)</w:t>
            </w:r>
          </w:p>
        </w:tc>
      </w:tr>
      <w:tr w:rsidR="00A67BF3" w:rsidRPr="00014EF4" w14:paraId="0DD49A1D" w14:textId="77777777" w:rsidTr="00923C47">
        <w:trPr>
          <w:trHeight w:val="70"/>
        </w:trPr>
        <w:tc>
          <w:tcPr>
            <w:tcW w:w="4045" w:type="dxa"/>
          </w:tcPr>
          <w:p w14:paraId="436DFD0E"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Weight</w:t>
            </w:r>
          </w:p>
        </w:tc>
        <w:tc>
          <w:tcPr>
            <w:tcW w:w="2250" w:type="dxa"/>
          </w:tcPr>
          <w:p w14:paraId="6D91CF8F"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0.51 (0.37-0.60)</w:t>
            </w:r>
          </w:p>
        </w:tc>
      </w:tr>
      <w:tr w:rsidR="00A67BF3" w:rsidRPr="00014EF4" w14:paraId="18A0D032" w14:textId="77777777" w:rsidTr="00923C47">
        <w:trPr>
          <w:trHeight w:val="70"/>
        </w:trPr>
        <w:tc>
          <w:tcPr>
            <w:tcW w:w="4045" w:type="dxa"/>
          </w:tcPr>
          <w:p w14:paraId="3028F313"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 xml:space="preserve">HIV status </w:t>
            </w:r>
          </w:p>
        </w:tc>
        <w:tc>
          <w:tcPr>
            <w:tcW w:w="2250" w:type="dxa"/>
          </w:tcPr>
          <w:p w14:paraId="2E01DDA5"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0.53 (0.43-0.63)</w:t>
            </w:r>
          </w:p>
        </w:tc>
      </w:tr>
      <w:tr w:rsidR="00A67BF3" w:rsidRPr="00014EF4" w14:paraId="2C912985" w14:textId="77777777" w:rsidTr="00923C47">
        <w:trPr>
          <w:trHeight w:val="70"/>
        </w:trPr>
        <w:tc>
          <w:tcPr>
            <w:tcW w:w="4045" w:type="dxa"/>
          </w:tcPr>
          <w:p w14:paraId="6C5FCC0D"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Sex</w:t>
            </w:r>
          </w:p>
        </w:tc>
        <w:tc>
          <w:tcPr>
            <w:tcW w:w="2250" w:type="dxa"/>
          </w:tcPr>
          <w:p w14:paraId="32241046"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0.54 (0.55-0.64)</w:t>
            </w:r>
          </w:p>
        </w:tc>
      </w:tr>
      <w:tr w:rsidR="00A67BF3" w:rsidRPr="00014EF4" w14:paraId="18814E09" w14:textId="77777777" w:rsidTr="00923C47">
        <w:trPr>
          <w:trHeight w:val="70"/>
        </w:trPr>
        <w:tc>
          <w:tcPr>
            <w:tcW w:w="4045" w:type="dxa"/>
          </w:tcPr>
          <w:p w14:paraId="57F28FDB" w14:textId="77777777" w:rsidR="00A67BF3" w:rsidRPr="00014EF4" w:rsidRDefault="00A67BF3" w:rsidP="00393591">
            <w:pPr>
              <w:rPr>
                <w:rFonts w:ascii="Times New Roman" w:hAnsi="Times New Roman" w:cs="Times New Roman"/>
              </w:rPr>
            </w:pPr>
            <w:r w:rsidRPr="00014EF4">
              <w:rPr>
                <w:rFonts w:ascii="Times New Roman" w:hAnsi="Times New Roman" w:cs="Times New Roman"/>
              </w:rPr>
              <w:t>Age</w:t>
            </w:r>
          </w:p>
        </w:tc>
        <w:tc>
          <w:tcPr>
            <w:tcW w:w="2250" w:type="dxa"/>
          </w:tcPr>
          <w:p w14:paraId="0F85BBC6"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0.58 (0.46-0.69)</w:t>
            </w:r>
          </w:p>
        </w:tc>
      </w:tr>
      <w:tr w:rsidR="00A67BF3" w:rsidRPr="00014EF4" w14:paraId="452F729E" w14:textId="77777777" w:rsidTr="00923C47">
        <w:trPr>
          <w:trHeight w:val="70"/>
        </w:trPr>
        <w:tc>
          <w:tcPr>
            <w:tcW w:w="4045" w:type="dxa"/>
          </w:tcPr>
          <w:p w14:paraId="339B5E1A" w14:textId="6DC1394E" w:rsidR="00A67BF3" w:rsidRPr="00014EF4" w:rsidRDefault="009659D7" w:rsidP="00393591">
            <w:pPr>
              <w:rPr>
                <w:rFonts w:ascii="Times New Roman" w:hAnsi="Times New Roman" w:cs="Times New Roman"/>
              </w:rPr>
            </w:pPr>
            <w:r w:rsidRPr="00014EF4">
              <w:rPr>
                <w:rFonts w:ascii="Times New Roman" w:hAnsi="Times New Roman" w:cs="Times New Roman"/>
              </w:rPr>
              <w:t xml:space="preserve">Pretreatment </w:t>
            </w:r>
            <w:r w:rsidR="00A67BF3" w:rsidRPr="00014EF4">
              <w:rPr>
                <w:rFonts w:ascii="Times New Roman" w:hAnsi="Times New Roman" w:cs="Times New Roman"/>
              </w:rPr>
              <w:t>Hb level</w:t>
            </w:r>
            <w:r w:rsidRPr="00014EF4">
              <w:rPr>
                <w:rFonts w:ascii="Times New Roman" w:hAnsi="Times New Roman" w:cs="Times New Roman"/>
              </w:rPr>
              <w:t>, t = 0</w:t>
            </w:r>
          </w:p>
        </w:tc>
        <w:tc>
          <w:tcPr>
            <w:tcW w:w="2250" w:type="dxa"/>
          </w:tcPr>
          <w:p w14:paraId="6A75D313"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0.56 (0.44-0.67)</w:t>
            </w:r>
          </w:p>
        </w:tc>
      </w:tr>
      <w:tr w:rsidR="00A67BF3" w:rsidRPr="00014EF4" w14:paraId="54C86FA1" w14:textId="77777777" w:rsidTr="00923C47">
        <w:trPr>
          <w:trHeight w:val="70"/>
        </w:trPr>
        <w:tc>
          <w:tcPr>
            <w:tcW w:w="4045" w:type="dxa"/>
          </w:tcPr>
          <w:p w14:paraId="484CF4C2" w14:textId="03DD2382" w:rsidR="00A67BF3" w:rsidRPr="00014EF4" w:rsidRDefault="009659D7" w:rsidP="00393591">
            <w:pPr>
              <w:rPr>
                <w:rFonts w:ascii="Times New Roman" w:hAnsi="Times New Roman" w:cs="Times New Roman"/>
              </w:rPr>
            </w:pPr>
            <w:r w:rsidRPr="00014EF4">
              <w:rPr>
                <w:rFonts w:ascii="Times New Roman" w:hAnsi="Times New Roman" w:cs="Times New Roman"/>
              </w:rPr>
              <w:t>Hb level at t = 1 week</w:t>
            </w:r>
          </w:p>
        </w:tc>
        <w:tc>
          <w:tcPr>
            <w:tcW w:w="2250" w:type="dxa"/>
          </w:tcPr>
          <w:p w14:paraId="4B569CC1"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0.53 (0.44-0.67)</w:t>
            </w:r>
          </w:p>
        </w:tc>
      </w:tr>
      <w:tr w:rsidR="00A67BF3" w:rsidRPr="00014EF4" w14:paraId="0CFC5F15" w14:textId="77777777" w:rsidTr="00923C47">
        <w:trPr>
          <w:trHeight w:val="70"/>
        </w:trPr>
        <w:tc>
          <w:tcPr>
            <w:tcW w:w="4045" w:type="dxa"/>
          </w:tcPr>
          <w:p w14:paraId="286F5353" w14:textId="673CB163" w:rsidR="00A67BF3" w:rsidRPr="00014EF4" w:rsidRDefault="00A67BF3" w:rsidP="00393591">
            <w:pPr>
              <w:rPr>
                <w:rFonts w:ascii="Times New Roman" w:hAnsi="Times New Roman" w:cs="Times New Roman"/>
              </w:rPr>
            </w:pPr>
            <w:r w:rsidRPr="00014EF4">
              <w:rPr>
                <w:rFonts w:ascii="Times New Roman" w:hAnsi="Times New Roman" w:cs="Times New Roman"/>
              </w:rPr>
              <w:t>Percent change in Hb</w:t>
            </w:r>
            <w:r w:rsidR="009659D7" w:rsidRPr="00014EF4">
              <w:rPr>
                <w:rFonts w:ascii="Times New Roman" w:hAnsi="Times New Roman" w:cs="Times New Roman"/>
              </w:rPr>
              <w:t xml:space="preserve"> level</w:t>
            </w:r>
            <w:r w:rsidRPr="00014EF4">
              <w:rPr>
                <w:rFonts w:ascii="Times New Roman" w:hAnsi="Times New Roman" w:cs="Times New Roman"/>
              </w:rPr>
              <w:t xml:space="preserve"> at </w:t>
            </w:r>
            <w:r w:rsidR="009659D7" w:rsidRPr="00014EF4">
              <w:rPr>
                <w:rFonts w:ascii="Times New Roman" w:hAnsi="Times New Roman" w:cs="Times New Roman"/>
              </w:rPr>
              <w:t>t = 1 week relative to t = 0</w:t>
            </w:r>
          </w:p>
        </w:tc>
        <w:tc>
          <w:tcPr>
            <w:tcW w:w="2250" w:type="dxa"/>
          </w:tcPr>
          <w:p w14:paraId="51DC56D7"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0.50 (0.38-0.53)</w:t>
            </w:r>
          </w:p>
        </w:tc>
      </w:tr>
      <w:tr w:rsidR="00A67BF3" w:rsidRPr="00014EF4" w14:paraId="0C3D244A" w14:textId="77777777" w:rsidTr="00923C47">
        <w:trPr>
          <w:trHeight w:val="70"/>
        </w:trPr>
        <w:tc>
          <w:tcPr>
            <w:tcW w:w="4045" w:type="dxa"/>
          </w:tcPr>
          <w:p w14:paraId="48D86E76" w14:textId="1CC5A2A9" w:rsidR="00A67BF3" w:rsidRPr="00014EF4" w:rsidRDefault="009659D7" w:rsidP="00393591">
            <w:pPr>
              <w:rPr>
                <w:rFonts w:ascii="Times New Roman" w:hAnsi="Times New Roman" w:cs="Times New Roman"/>
              </w:rPr>
            </w:pPr>
            <w:r w:rsidRPr="00014EF4">
              <w:rPr>
                <w:rFonts w:ascii="Times New Roman" w:hAnsi="Times New Roman" w:cs="Times New Roman"/>
              </w:rPr>
              <w:t>Hb level at t = 2 weeks</w:t>
            </w:r>
          </w:p>
        </w:tc>
        <w:tc>
          <w:tcPr>
            <w:tcW w:w="2250" w:type="dxa"/>
          </w:tcPr>
          <w:p w14:paraId="321289CC"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0.63 (0.52-0.74)</w:t>
            </w:r>
          </w:p>
        </w:tc>
      </w:tr>
      <w:tr w:rsidR="00A67BF3" w:rsidRPr="00014EF4" w14:paraId="70851613" w14:textId="77777777" w:rsidTr="00923C47">
        <w:trPr>
          <w:trHeight w:val="70"/>
        </w:trPr>
        <w:tc>
          <w:tcPr>
            <w:tcW w:w="4045" w:type="dxa"/>
          </w:tcPr>
          <w:p w14:paraId="20A5E1CF" w14:textId="3158DF23" w:rsidR="00A67BF3" w:rsidRPr="00014EF4" w:rsidRDefault="009659D7" w:rsidP="00393591">
            <w:pPr>
              <w:rPr>
                <w:rFonts w:ascii="Times New Roman" w:hAnsi="Times New Roman" w:cs="Times New Roman"/>
              </w:rPr>
            </w:pPr>
            <w:r w:rsidRPr="00014EF4">
              <w:rPr>
                <w:rFonts w:ascii="Times New Roman" w:hAnsi="Times New Roman" w:cs="Times New Roman"/>
              </w:rPr>
              <w:t>Percent change in Hb level at t = 2 weeks relative to t = 0</w:t>
            </w:r>
          </w:p>
        </w:tc>
        <w:tc>
          <w:tcPr>
            <w:tcW w:w="2250" w:type="dxa"/>
          </w:tcPr>
          <w:p w14:paraId="16D47B26"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0.62 (0.51-0.73)</w:t>
            </w:r>
          </w:p>
        </w:tc>
      </w:tr>
      <w:tr w:rsidR="00A67BF3" w:rsidRPr="00014EF4" w14:paraId="6724259D" w14:textId="77777777" w:rsidTr="00923C47">
        <w:trPr>
          <w:trHeight w:val="70"/>
        </w:trPr>
        <w:tc>
          <w:tcPr>
            <w:tcW w:w="4045" w:type="dxa"/>
          </w:tcPr>
          <w:p w14:paraId="3CACDCBA" w14:textId="1DC7B140" w:rsidR="00A67BF3" w:rsidRPr="00014EF4" w:rsidRDefault="009659D7" w:rsidP="00393591">
            <w:pPr>
              <w:rPr>
                <w:rFonts w:ascii="Times New Roman" w:hAnsi="Times New Roman" w:cs="Times New Roman"/>
              </w:rPr>
            </w:pPr>
            <w:r w:rsidRPr="00014EF4">
              <w:rPr>
                <w:rFonts w:ascii="Times New Roman" w:hAnsi="Times New Roman" w:cs="Times New Roman"/>
              </w:rPr>
              <w:t>Hb level at t = 4 weeks</w:t>
            </w:r>
          </w:p>
        </w:tc>
        <w:tc>
          <w:tcPr>
            <w:tcW w:w="2250" w:type="dxa"/>
          </w:tcPr>
          <w:p w14:paraId="4E9C8EEE"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0.73 (0.64-0.82)</w:t>
            </w:r>
          </w:p>
        </w:tc>
      </w:tr>
      <w:tr w:rsidR="00A67BF3" w:rsidRPr="00014EF4" w14:paraId="49E835B9" w14:textId="77777777" w:rsidTr="00923C47">
        <w:trPr>
          <w:trHeight w:val="70"/>
        </w:trPr>
        <w:tc>
          <w:tcPr>
            <w:tcW w:w="4045" w:type="dxa"/>
          </w:tcPr>
          <w:p w14:paraId="70C3DA1D" w14:textId="0ADA7591" w:rsidR="00A67BF3" w:rsidRPr="00014EF4" w:rsidRDefault="009659D7" w:rsidP="00393591">
            <w:pPr>
              <w:rPr>
                <w:rFonts w:ascii="Times New Roman" w:hAnsi="Times New Roman" w:cs="Times New Roman"/>
              </w:rPr>
            </w:pPr>
            <w:r w:rsidRPr="00014EF4">
              <w:rPr>
                <w:rFonts w:ascii="Times New Roman" w:hAnsi="Times New Roman" w:cs="Times New Roman"/>
              </w:rPr>
              <w:t>Percent change in Hb level at t = 4 weeks relative to t = 0</w:t>
            </w:r>
          </w:p>
        </w:tc>
        <w:tc>
          <w:tcPr>
            <w:tcW w:w="2250" w:type="dxa"/>
          </w:tcPr>
          <w:p w14:paraId="249381D3"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0.71 (0.61-0.81)</w:t>
            </w:r>
          </w:p>
        </w:tc>
      </w:tr>
      <w:tr w:rsidR="00A67BF3" w:rsidRPr="00014EF4" w14:paraId="32F6812A" w14:textId="77777777" w:rsidTr="00923C47">
        <w:trPr>
          <w:trHeight w:val="70"/>
        </w:trPr>
        <w:tc>
          <w:tcPr>
            <w:tcW w:w="4045" w:type="dxa"/>
          </w:tcPr>
          <w:p w14:paraId="6C61CB47" w14:textId="43D34BA7" w:rsidR="00A67BF3" w:rsidRPr="00014EF4" w:rsidRDefault="00A67BF3" w:rsidP="00393591">
            <w:pPr>
              <w:rPr>
                <w:rFonts w:ascii="Times New Roman" w:hAnsi="Times New Roman" w:cs="Times New Roman"/>
              </w:rPr>
            </w:pPr>
            <w:r w:rsidRPr="00014EF4">
              <w:rPr>
                <w:rFonts w:ascii="Times New Roman" w:hAnsi="Times New Roman" w:cs="Times New Roman"/>
              </w:rPr>
              <w:t>Observed linezolid trough</w:t>
            </w:r>
            <w:r w:rsidR="009659D7" w:rsidRPr="00014EF4">
              <w:rPr>
                <w:rFonts w:ascii="Times New Roman" w:hAnsi="Times New Roman" w:cs="Times New Roman"/>
              </w:rPr>
              <w:t xml:space="preserve"> at t = 2 weeks</w:t>
            </w:r>
          </w:p>
        </w:tc>
        <w:tc>
          <w:tcPr>
            <w:tcW w:w="2250" w:type="dxa"/>
          </w:tcPr>
          <w:p w14:paraId="7EC05129" w14:textId="77777777" w:rsidR="00A67BF3" w:rsidRPr="00014EF4" w:rsidRDefault="00A67BF3" w:rsidP="00386B99">
            <w:pPr>
              <w:rPr>
                <w:rFonts w:ascii="Times New Roman" w:hAnsi="Times New Roman" w:cs="Times New Roman"/>
              </w:rPr>
            </w:pPr>
            <w:r w:rsidRPr="00014EF4">
              <w:rPr>
                <w:rFonts w:ascii="Times New Roman" w:hAnsi="Times New Roman" w:cs="Times New Roman"/>
              </w:rPr>
              <w:t>0.52 (0.41-0.63)</w:t>
            </w:r>
          </w:p>
        </w:tc>
      </w:tr>
    </w:tbl>
    <w:p w14:paraId="65189511" w14:textId="77777777" w:rsidR="00A67BF3" w:rsidRPr="00014EF4" w:rsidRDefault="00A67BF3" w:rsidP="00393591">
      <w:pPr>
        <w:rPr>
          <w:rFonts w:ascii="Times New Roman" w:hAnsi="Times New Roman" w:cs="Times New Roman"/>
        </w:rPr>
      </w:pPr>
    </w:p>
    <w:p w14:paraId="7B1B9B78" w14:textId="325441E3" w:rsidR="00752B28" w:rsidRPr="00014EF4" w:rsidRDefault="008160A7" w:rsidP="00393591">
      <w:pPr>
        <w:rPr>
          <w:rFonts w:ascii="Times New Roman" w:hAnsi="Times New Roman" w:cs="Times New Roman"/>
        </w:rPr>
      </w:pPr>
      <w:r w:rsidRPr="00014EF4">
        <w:rPr>
          <w:rFonts w:ascii="Times New Roman" w:hAnsi="Times New Roman" w:cs="Times New Roman"/>
          <w:b/>
          <w:i/>
        </w:rPr>
        <w:t xml:space="preserve">Abbreviations: </w:t>
      </w:r>
      <w:r w:rsidRPr="00014EF4">
        <w:rPr>
          <w:rFonts w:ascii="Times New Roman" w:hAnsi="Times New Roman" w:cs="Times New Roman"/>
        </w:rPr>
        <w:t xml:space="preserve">AUROC, area under the receiver operating characteristic curve; </w:t>
      </w:r>
      <w:r w:rsidR="009659D7" w:rsidRPr="00014EF4">
        <w:rPr>
          <w:rFonts w:ascii="Times New Roman" w:hAnsi="Times New Roman" w:cs="Times New Roman"/>
        </w:rPr>
        <w:t>PK, pharmacokinetics; BMI, body mass index; HIV, human immunodeficiency virus; Hb, hemoglobin; t, time after treatment initiation</w:t>
      </w:r>
      <w:r w:rsidR="00752B28" w:rsidRPr="00014EF4">
        <w:rPr>
          <w:rFonts w:ascii="Times New Roman" w:hAnsi="Times New Roman" w:cs="Times New Roman"/>
        </w:rPr>
        <w:t xml:space="preserve">. </w:t>
      </w:r>
    </w:p>
    <w:p w14:paraId="665A5818" w14:textId="72B754AA" w:rsidR="00094C4C" w:rsidRPr="00D10363" w:rsidRDefault="00752B28" w:rsidP="00094C4C">
      <w:pPr>
        <w:rPr>
          <w:rFonts w:ascii="Times New Roman" w:hAnsi="Times New Roman" w:cs="Times New Roman"/>
        </w:rPr>
      </w:pPr>
      <w:r w:rsidRPr="00014EF4">
        <w:rPr>
          <w:rFonts w:ascii="Times New Roman" w:hAnsi="Times New Roman" w:cs="Times New Roman"/>
        </w:rPr>
        <w:br w:type="page"/>
      </w:r>
      <w:r w:rsidR="00094C4C" w:rsidRPr="006941F2">
        <w:rPr>
          <w:rStyle w:val="Heading2Char"/>
          <w:rFonts w:ascii="Times New Roman" w:hAnsi="Times New Roman" w:cs="Times New Roman"/>
          <w:b/>
          <w:iCs/>
          <w:color w:val="auto"/>
          <w:sz w:val="24"/>
          <w:szCs w:val="24"/>
        </w:rPr>
        <w:lastRenderedPageBreak/>
        <w:t>Supplemental Table 12.</w:t>
      </w:r>
      <w:r w:rsidR="00094C4C">
        <w:rPr>
          <w:rFonts w:ascii="Times New Roman" w:hAnsi="Times New Roman" w:cs="Times New Roman"/>
          <w:b/>
        </w:rPr>
        <w:t xml:space="preserve"> </w:t>
      </w:r>
      <w:r w:rsidR="00094C4C" w:rsidRPr="00D10363">
        <w:rPr>
          <w:rFonts w:ascii="Times New Roman" w:hAnsi="Times New Roman" w:cs="Times New Roman"/>
        </w:rPr>
        <w:t xml:space="preserve">Predicted </w:t>
      </w:r>
      <w:r w:rsidR="00094C4C">
        <w:rPr>
          <w:rFonts w:ascii="Times New Roman" w:hAnsi="Times New Roman" w:cs="Times New Roman"/>
        </w:rPr>
        <w:t>rates of severe neuropathy scores and severe anemia</w:t>
      </w:r>
      <w:r w:rsidR="00094C4C" w:rsidRPr="00D10363">
        <w:rPr>
          <w:rFonts w:ascii="Times New Roman" w:hAnsi="Times New Roman" w:cs="Times New Roman"/>
        </w:rPr>
        <w:t xml:space="preserve"> with regimens tested in </w:t>
      </w:r>
      <w:r w:rsidR="008272E1">
        <w:rPr>
          <w:rFonts w:ascii="Times New Roman" w:hAnsi="Times New Roman" w:cs="Times New Roman"/>
        </w:rPr>
        <w:t xml:space="preserve">the </w:t>
      </w:r>
      <w:r w:rsidR="00094C4C" w:rsidRPr="00D10363">
        <w:rPr>
          <w:rFonts w:ascii="Times New Roman" w:hAnsi="Times New Roman" w:cs="Times New Roman"/>
        </w:rPr>
        <w:t xml:space="preserve">phase 3 ZeNix trial. </w:t>
      </w:r>
      <w:r w:rsidR="00094C4C" w:rsidRPr="00951626">
        <w:rPr>
          <w:rFonts w:ascii="Times New Roman" w:hAnsi="Times New Roman" w:cs="Times New Roman"/>
        </w:rPr>
        <w:t>Dosing histories (e.g. dose reductions, dose interruptions, etc.) not accounted for in simulation</w:t>
      </w:r>
      <w:r w:rsidR="008272E1">
        <w:rPr>
          <w:rFonts w:ascii="Times New Roman" w:hAnsi="Times New Roman" w:cs="Times New Roman"/>
        </w:rPr>
        <w:t>s</w:t>
      </w:r>
      <w:r w:rsidR="00094C4C" w:rsidRPr="00951626">
        <w:rPr>
          <w:rFonts w:ascii="Times New Roman" w:hAnsi="Times New Roman" w:cs="Times New Roman"/>
        </w:rPr>
        <w:t>.</w:t>
      </w:r>
      <w:r w:rsidR="00094C4C">
        <w:rPr>
          <w:rFonts w:ascii="Times New Roman" w:hAnsi="Times New Roman" w:cs="Times New Roman"/>
        </w:rPr>
        <w:t xml:space="preserve"> Results from ZeNix trial retrieved from International AIDS Society Conference abstract book </w:t>
      </w:r>
      <w:r w:rsidR="00094C4C">
        <w:rPr>
          <w:rFonts w:ascii="Times New Roman" w:hAnsi="Times New Roman" w:cs="Times New Roman"/>
        </w:rPr>
        <w:fldChar w:fldCharType="begin" w:fldLock="1"/>
      </w:r>
      <w:r w:rsidR="00094C4C">
        <w:rPr>
          <w:rFonts w:ascii="Times New Roman" w:hAnsi="Times New Roman" w:cs="Times New Roman"/>
        </w:rPr>
        <w:instrText>ADDIN CSL_CITATION {"citationItems":[{"id":"ITEM-1","itemData":{"author":[{"dropping-particle":"","family":"Conradie","given":"F","non-dropping-particle":"","parse-names":false,"suffix":""},{"dropping-particle":"","family":"Everitt","given":"D","non-dropping-particle":"","parse-names":false,"suffix":""},{"dropping-particle":"","family":"Olugbosi","given":"M","non-dropping-particle":"","parse-names":false,"suffix":""},{"dropping-particle":"","family":"Wills","given":"G","non-dropping-particle":"","parse-names":false,"suffix":""},{"dropping-particle":"","family":"Fabiane","given":"S","non-dropping-particle":"","parse-names":false,"suffix":""},{"dropping-particle":"","family":"Timm","given":"J","non-dropping-particle":"","parse-names":false,"suffix":""},{"dropping-particle":"","family":"Spigelman","given":"M","non-dropping-particle":"","parse-names":false,"suffix":""}],"container-title":"International AIDS Society Conferences 2021 Abstract Book","id":"ITEM-1","issued":{"date-parts":[["2021"]]},"page":"406","publisher-place":"Berlin, Germany","title":"High rate of successful outcomes treating highly resistant TB in the ZeNix study of pretomanid, bedaquiline and alternative doses and durations of linezolid","type":"paper-conference"},"uris":["http://www.mendeley.com/documents/?uuid=33677634-cbde-4abf-956a-f8d83a660b6c"]}],"mendeley":{"formattedCitation":"[29]","plainTextFormattedCitation":"[29]"},"properties":{"noteIndex":0},"schema":"https://github.com/citation-style-language/schema/raw/master/csl-citation.json"}</w:instrText>
      </w:r>
      <w:r w:rsidR="00094C4C">
        <w:rPr>
          <w:rFonts w:ascii="Times New Roman" w:hAnsi="Times New Roman" w:cs="Times New Roman"/>
        </w:rPr>
        <w:fldChar w:fldCharType="separate"/>
      </w:r>
      <w:r w:rsidR="00094C4C" w:rsidRPr="006A53E8">
        <w:rPr>
          <w:rFonts w:ascii="Times New Roman" w:hAnsi="Times New Roman" w:cs="Times New Roman"/>
          <w:noProof/>
        </w:rPr>
        <w:t>[29]</w:t>
      </w:r>
      <w:r w:rsidR="00094C4C">
        <w:rPr>
          <w:rFonts w:ascii="Times New Roman" w:hAnsi="Times New Roman" w:cs="Times New Roman"/>
        </w:rPr>
        <w:fldChar w:fldCharType="end"/>
      </w:r>
      <w:r w:rsidR="00094C4C">
        <w:rPr>
          <w:rFonts w:ascii="Times New Roman" w:hAnsi="Times New Roman" w:cs="Times New Roman"/>
        </w:rPr>
        <w:t>. ZeNix regimens: 1200L6M=1200 mg linezolid for 6 months, 1200L2M=1200 mg linezolid for 2 months, 600L6M=600 mg linezolid for 6 months, and 600L2M=600 mg linezolid for 2 months</w:t>
      </w:r>
      <w:r w:rsidR="005A5A5B">
        <w:rPr>
          <w:rFonts w:ascii="Times New Roman" w:hAnsi="Times New Roman" w:cs="Times New Roman"/>
        </w:rPr>
        <w:t>.</w:t>
      </w:r>
    </w:p>
    <w:p w14:paraId="32F28B9A" w14:textId="77777777" w:rsidR="00094C4C" w:rsidRDefault="00094C4C" w:rsidP="00094C4C">
      <w:pPr>
        <w:rPr>
          <w:rFonts w:ascii="Times New Roman" w:hAnsi="Times New Roman" w:cs="Times New Roman"/>
          <w:b/>
        </w:rPr>
      </w:pPr>
    </w:p>
    <w:p w14:paraId="1DE26897" w14:textId="77777777" w:rsidR="00094C4C" w:rsidRPr="004503B5" w:rsidRDefault="00094C4C" w:rsidP="00094C4C">
      <w:pPr>
        <w:rPr>
          <w:rFonts w:ascii="Times New Roman" w:hAnsi="Times New Roman" w:cs="Times New Roman"/>
          <w:b/>
        </w:rPr>
      </w:pPr>
      <w:r w:rsidRPr="004503B5">
        <w:rPr>
          <w:rFonts w:ascii="Times New Roman" w:hAnsi="Times New Roman" w:cs="Times New Roman"/>
          <w:b/>
        </w:rPr>
        <w:t xml:space="preserve">Peripheral Neuropathy </w:t>
      </w:r>
    </w:p>
    <w:tbl>
      <w:tblPr>
        <w:tblStyle w:val="TableGrid"/>
        <w:tblW w:w="0" w:type="auto"/>
        <w:tblLook w:val="04A0" w:firstRow="1" w:lastRow="0" w:firstColumn="1" w:lastColumn="0" w:noHBand="0" w:noVBand="1"/>
      </w:tblPr>
      <w:tblGrid>
        <w:gridCol w:w="1255"/>
        <w:gridCol w:w="3240"/>
        <w:gridCol w:w="4855"/>
      </w:tblGrid>
      <w:tr w:rsidR="00094C4C" w:rsidRPr="004503B5" w14:paraId="0264E123" w14:textId="77777777" w:rsidTr="006941F2">
        <w:tc>
          <w:tcPr>
            <w:tcW w:w="1255" w:type="dxa"/>
          </w:tcPr>
          <w:p w14:paraId="11D333F0"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Regimen</w:t>
            </w:r>
          </w:p>
        </w:tc>
        <w:tc>
          <w:tcPr>
            <w:tcW w:w="3240" w:type="dxa"/>
          </w:tcPr>
          <w:p w14:paraId="6E7C31D0" w14:textId="260C0221" w:rsidR="00094C4C" w:rsidRPr="004503B5" w:rsidRDefault="00DB75D6" w:rsidP="005A5A5B">
            <w:pPr>
              <w:tabs>
                <w:tab w:val="left" w:pos="501"/>
              </w:tabs>
              <w:rPr>
                <w:rFonts w:ascii="Times New Roman" w:hAnsi="Times New Roman" w:cs="Times New Roman"/>
              </w:rPr>
            </w:pPr>
            <w:r>
              <w:rPr>
                <w:rFonts w:ascii="Times New Roman" w:hAnsi="Times New Roman" w:cs="Times New Roman"/>
              </w:rPr>
              <w:t xml:space="preserve">Percentage of patients with investigator-reported peripheral neuopathy in ZeNix trial </w:t>
            </w:r>
            <w:r w:rsidR="00094C4C" w:rsidRPr="004503B5">
              <w:rPr>
                <w:rFonts w:ascii="Times New Roman" w:hAnsi="Times New Roman" w:cs="Times New Roman"/>
              </w:rPr>
              <w:t xml:space="preserve"> </w:t>
            </w:r>
          </w:p>
        </w:tc>
        <w:tc>
          <w:tcPr>
            <w:tcW w:w="4855" w:type="dxa"/>
          </w:tcPr>
          <w:p w14:paraId="2D8FD82C" w14:textId="633A187F"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Simulated percentage of patients with at least one </w:t>
            </w:r>
            <w:r w:rsidRPr="006941F2">
              <w:rPr>
                <w:rFonts w:ascii="Times New Roman" w:hAnsi="Times New Roman" w:cs="Times New Roman"/>
              </w:rPr>
              <w:t>severe neuropathy score</w:t>
            </w:r>
            <w:r w:rsidR="00DB75D6" w:rsidRPr="006941F2">
              <w:rPr>
                <w:rFonts w:ascii="Times New Roman" w:hAnsi="Times New Roman" w:cs="Times New Roman"/>
              </w:rPr>
              <w:t xml:space="preserve"> (maximum scores: 8-10)</w:t>
            </w:r>
            <w:r w:rsidRPr="00DB75D6">
              <w:rPr>
                <w:rFonts w:ascii="Times New Roman" w:hAnsi="Times New Roman" w:cs="Times New Roman"/>
              </w:rPr>
              <w:t xml:space="preserve"> up</w:t>
            </w:r>
            <w:r w:rsidRPr="004503B5">
              <w:rPr>
                <w:rFonts w:ascii="Times New Roman" w:hAnsi="Times New Roman" w:cs="Times New Roman"/>
              </w:rPr>
              <w:t xml:space="preserve"> to 12 months after </w:t>
            </w:r>
            <w:r w:rsidR="00DB75D6">
              <w:rPr>
                <w:rFonts w:ascii="Times New Roman" w:hAnsi="Times New Roman" w:cs="Times New Roman"/>
              </w:rPr>
              <w:t>treatment initiation</w:t>
            </w:r>
            <w:r w:rsidRPr="004503B5">
              <w:rPr>
                <w:rFonts w:ascii="Times New Roman" w:hAnsi="Times New Roman" w:cs="Times New Roman"/>
              </w:rPr>
              <w:t xml:space="preserve"> (6 months post treatment)</w:t>
            </w:r>
            <w:r>
              <w:rPr>
                <w:rFonts w:ascii="Times New Roman" w:hAnsi="Times New Roman" w:cs="Times New Roman"/>
              </w:rPr>
              <w:t xml:space="preserve"> </w:t>
            </w:r>
            <w:r w:rsidRPr="004503B5">
              <w:rPr>
                <w:rFonts w:ascii="Times New Roman" w:hAnsi="Times New Roman" w:cs="Times New Roman"/>
              </w:rPr>
              <w:t>Median (90% CI)</w:t>
            </w:r>
          </w:p>
        </w:tc>
      </w:tr>
      <w:tr w:rsidR="00094C4C" w:rsidRPr="004503B5" w14:paraId="1D3BFA75" w14:textId="77777777" w:rsidTr="006941F2">
        <w:tc>
          <w:tcPr>
            <w:tcW w:w="1255" w:type="dxa"/>
          </w:tcPr>
          <w:p w14:paraId="731DA453"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1200L6M</w:t>
            </w:r>
          </w:p>
        </w:tc>
        <w:tc>
          <w:tcPr>
            <w:tcW w:w="3240" w:type="dxa"/>
          </w:tcPr>
          <w:p w14:paraId="5335EF3A"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38%</w:t>
            </w:r>
          </w:p>
        </w:tc>
        <w:tc>
          <w:tcPr>
            <w:tcW w:w="4855" w:type="dxa"/>
          </w:tcPr>
          <w:p w14:paraId="57276434"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42% (40-45) </w:t>
            </w:r>
          </w:p>
        </w:tc>
      </w:tr>
      <w:tr w:rsidR="00094C4C" w:rsidRPr="004503B5" w14:paraId="34B0F5DB" w14:textId="77777777" w:rsidTr="006941F2">
        <w:tc>
          <w:tcPr>
            <w:tcW w:w="1255" w:type="dxa"/>
          </w:tcPr>
          <w:p w14:paraId="21040CA2"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1200L2M</w:t>
            </w:r>
          </w:p>
        </w:tc>
        <w:tc>
          <w:tcPr>
            <w:tcW w:w="3240" w:type="dxa"/>
          </w:tcPr>
          <w:p w14:paraId="33656A2F"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24%</w:t>
            </w:r>
          </w:p>
        </w:tc>
        <w:tc>
          <w:tcPr>
            <w:tcW w:w="4855" w:type="dxa"/>
          </w:tcPr>
          <w:p w14:paraId="54A763EA"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22% (20-24) </w:t>
            </w:r>
          </w:p>
        </w:tc>
      </w:tr>
      <w:tr w:rsidR="00094C4C" w:rsidRPr="004503B5" w14:paraId="38FB9F61" w14:textId="77777777" w:rsidTr="006941F2">
        <w:tc>
          <w:tcPr>
            <w:tcW w:w="1255" w:type="dxa"/>
          </w:tcPr>
          <w:p w14:paraId="03D490FA"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600L6M</w:t>
            </w:r>
          </w:p>
        </w:tc>
        <w:tc>
          <w:tcPr>
            <w:tcW w:w="3240" w:type="dxa"/>
          </w:tcPr>
          <w:p w14:paraId="0CCA8610"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24%</w:t>
            </w:r>
          </w:p>
        </w:tc>
        <w:tc>
          <w:tcPr>
            <w:tcW w:w="4855" w:type="dxa"/>
          </w:tcPr>
          <w:p w14:paraId="5085D2FA"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18% (15-20)</w:t>
            </w:r>
          </w:p>
        </w:tc>
      </w:tr>
      <w:tr w:rsidR="00094C4C" w:rsidRPr="004503B5" w14:paraId="042C91EC" w14:textId="77777777" w:rsidTr="006941F2">
        <w:tc>
          <w:tcPr>
            <w:tcW w:w="1255" w:type="dxa"/>
          </w:tcPr>
          <w:p w14:paraId="281E2EEC"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600L2M</w:t>
            </w:r>
          </w:p>
        </w:tc>
        <w:tc>
          <w:tcPr>
            <w:tcW w:w="3240" w:type="dxa"/>
          </w:tcPr>
          <w:p w14:paraId="28FACFAE"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13%</w:t>
            </w:r>
          </w:p>
        </w:tc>
        <w:tc>
          <w:tcPr>
            <w:tcW w:w="4855" w:type="dxa"/>
          </w:tcPr>
          <w:p w14:paraId="38FE05AD"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12% (10-15) </w:t>
            </w:r>
          </w:p>
        </w:tc>
      </w:tr>
    </w:tbl>
    <w:p w14:paraId="3CE6B691" w14:textId="77777777" w:rsidR="00094C4C" w:rsidRDefault="00094C4C" w:rsidP="00094C4C">
      <w:pPr>
        <w:rPr>
          <w:rFonts w:cs="Times New Roman"/>
          <w:i/>
          <w:iCs/>
        </w:rPr>
      </w:pPr>
    </w:p>
    <w:p w14:paraId="79F6BC7A" w14:textId="77777777" w:rsidR="00094C4C" w:rsidRPr="004503B5" w:rsidRDefault="00094C4C" w:rsidP="00094C4C">
      <w:pPr>
        <w:tabs>
          <w:tab w:val="left" w:pos="501"/>
        </w:tabs>
        <w:rPr>
          <w:rFonts w:ascii="Times New Roman" w:hAnsi="Times New Roman" w:cs="Times New Roman"/>
          <w:b/>
        </w:rPr>
      </w:pPr>
      <w:r w:rsidRPr="004503B5">
        <w:rPr>
          <w:rFonts w:ascii="Times New Roman" w:hAnsi="Times New Roman" w:cs="Times New Roman"/>
          <w:b/>
        </w:rPr>
        <w:t xml:space="preserve">Anemia </w:t>
      </w:r>
    </w:p>
    <w:tbl>
      <w:tblPr>
        <w:tblStyle w:val="TableGrid"/>
        <w:tblW w:w="0" w:type="auto"/>
        <w:tblLook w:val="04A0" w:firstRow="1" w:lastRow="0" w:firstColumn="1" w:lastColumn="0" w:noHBand="0" w:noVBand="1"/>
      </w:tblPr>
      <w:tblGrid>
        <w:gridCol w:w="1255"/>
        <w:gridCol w:w="3240"/>
        <w:gridCol w:w="4855"/>
      </w:tblGrid>
      <w:tr w:rsidR="00094C4C" w:rsidRPr="004503B5" w14:paraId="46E5766E" w14:textId="77777777" w:rsidTr="006941F2">
        <w:tc>
          <w:tcPr>
            <w:tcW w:w="1255" w:type="dxa"/>
          </w:tcPr>
          <w:p w14:paraId="09A9926E"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Regimen</w:t>
            </w:r>
          </w:p>
        </w:tc>
        <w:tc>
          <w:tcPr>
            <w:tcW w:w="3240" w:type="dxa"/>
          </w:tcPr>
          <w:p w14:paraId="49632E0C" w14:textId="66F1171B" w:rsidR="00094C4C" w:rsidRPr="004503B5" w:rsidRDefault="00DB75D6" w:rsidP="005A5A5B">
            <w:pPr>
              <w:tabs>
                <w:tab w:val="left" w:pos="501"/>
              </w:tabs>
              <w:rPr>
                <w:rFonts w:ascii="Times New Roman" w:hAnsi="Times New Roman" w:cs="Times New Roman"/>
              </w:rPr>
            </w:pPr>
            <w:r>
              <w:rPr>
                <w:rFonts w:ascii="Times New Roman" w:hAnsi="Times New Roman" w:cs="Times New Roman"/>
              </w:rPr>
              <w:t xml:space="preserve">Percentage of patients with investigator-reported aenmia in ZeNix trial </w:t>
            </w:r>
            <w:r w:rsidRPr="004503B5">
              <w:rPr>
                <w:rFonts w:ascii="Times New Roman" w:hAnsi="Times New Roman" w:cs="Times New Roman"/>
              </w:rPr>
              <w:t xml:space="preserve"> </w:t>
            </w:r>
          </w:p>
        </w:tc>
        <w:tc>
          <w:tcPr>
            <w:tcW w:w="4855" w:type="dxa"/>
          </w:tcPr>
          <w:p w14:paraId="7CEA6303"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Simulated percentage of </w:t>
            </w:r>
            <w:r w:rsidRPr="00DB75D6">
              <w:rPr>
                <w:rFonts w:ascii="Times New Roman" w:hAnsi="Times New Roman" w:cs="Times New Roman"/>
              </w:rPr>
              <w:t xml:space="preserve">patients with </w:t>
            </w:r>
            <w:r w:rsidRPr="006941F2">
              <w:rPr>
                <w:rFonts w:ascii="Times New Roman" w:hAnsi="Times New Roman" w:cs="Times New Roman"/>
              </w:rPr>
              <w:t>severe anemia</w:t>
            </w:r>
            <w:r w:rsidRPr="004503B5">
              <w:rPr>
                <w:rFonts w:ascii="Times New Roman" w:hAnsi="Times New Roman" w:cs="Times New Roman"/>
              </w:rPr>
              <w:t xml:space="preserve"> (grade 3 or higher</w:t>
            </w:r>
            <w:r>
              <w:rPr>
                <w:rFonts w:ascii="Times New Roman" w:hAnsi="Times New Roman" w:cs="Times New Roman"/>
              </w:rPr>
              <w:t>)</w:t>
            </w:r>
            <w:r w:rsidRPr="004503B5">
              <w:rPr>
                <w:rFonts w:ascii="Times New Roman" w:hAnsi="Times New Roman" w:cs="Times New Roman"/>
              </w:rPr>
              <w:t xml:space="preserve"> Median (90% CI) </w:t>
            </w:r>
          </w:p>
        </w:tc>
      </w:tr>
      <w:tr w:rsidR="00094C4C" w:rsidRPr="004503B5" w14:paraId="7B58DCFB" w14:textId="77777777" w:rsidTr="006941F2">
        <w:tc>
          <w:tcPr>
            <w:tcW w:w="1255" w:type="dxa"/>
          </w:tcPr>
          <w:p w14:paraId="6BFD3C0A"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1200L6M</w:t>
            </w:r>
          </w:p>
        </w:tc>
        <w:tc>
          <w:tcPr>
            <w:tcW w:w="3240" w:type="dxa"/>
          </w:tcPr>
          <w:p w14:paraId="6CF542EB"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22%</w:t>
            </w:r>
          </w:p>
        </w:tc>
        <w:tc>
          <w:tcPr>
            <w:tcW w:w="4855" w:type="dxa"/>
          </w:tcPr>
          <w:p w14:paraId="181511CE"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15% (12-17) </w:t>
            </w:r>
          </w:p>
        </w:tc>
      </w:tr>
      <w:tr w:rsidR="00094C4C" w:rsidRPr="004503B5" w14:paraId="381BA8EA" w14:textId="77777777" w:rsidTr="006941F2">
        <w:tc>
          <w:tcPr>
            <w:tcW w:w="1255" w:type="dxa"/>
          </w:tcPr>
          <w:p w14:paraId="1B227E86"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1200L2M</w:t>
            </w:r>
          </w:p>
        </w:tc>
        <w:tc>
          <w:tcPr>
            <w:tcW w:w="3240" w:type="dxa"/>
          </w:tcPr>
          <w:p w14:paraId="155C9F8B"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17%</w:t>
            </w:r>
          </w:p>
        </w:tc>
        <w:tc>
          <w:tcPr>
            <w:tcW w:w="4855" w:type="dxa"/>
          </w:tcPr>
          <w:p w14:paraId="1D614834"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8% (6-10) </w:t>
            </w:r>
          </w:p>
        </w:tc>
      </w:tr>
      <w:tr w:rsidR="00094C4C" w:rsidRPr="004503B5" w14:paraId="3AF38DFD" w14:textId="77777777" w:rsidTr="006941F2">
        <w:tc>
          <w:tcPr>
            <w:tcW w:w="1255" w:type="dxa"/>
          </w:tcPr>
          <w:p w14:paraId="182BF16D"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600L6M</w:t>
            </w:r>
          </w:p>
        </w:tc>
        <w:tc>
          <w:tcPr>
            <w:tcW w:w="3240" w:type="dxa"/>
          </w:tcPr>
          <w:p w14:paraId="68D9A2F5"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2%</w:t>
            </w:r>
          </w:p>
        </w:tc>
        <w:tc>
          <w:tcPr>
            <w:tcW w:w="4855" w:type="dxa"/>
          </w:tcPr>
          <w:p w14:paraId="004D9256"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1% (&lt;1 -2)</w:t>
            </w:r>
          </w:p>
        </w:tc>
      </w:tr>
      <w:tr w:rsidR="00094C4C" w:rsidRPr="004503B5" w14:paraId="35A1A5AD" w14:textId="77777777" w:rsidTr="006941F2">
        <w:tc>
          <w:tcPr>
            <w:tcW w:w="1255" w:type="dxa"/>
          </w:tcPr>
          <w:p w14:paraId="2C9AE4DA"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600L2M</w:t>
            </w:r>
          </w:p>
        </w:tc>
        <w:tc>
          <w:tcPr>
            <w:tcW w:w="3240" w:type="dxa"/>
          </w:tcPr>
          <w:p w14:paraId="4D4A3B10"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7%</w:t>
            </w:r>
          </w:p>
        </w:tc>
        <w:tc>
          <w:tcPr>
            <w:tcW w:w="4855" w:type="dxa"/>
          </w:tcPr>
          <w:p w14:paraId="33C8B3AC" w14:textId="77777777" w:rsidR="00094C4C" w:rsidRPr="004503B5" w:rsidRDefault="00094C4C" w:rsidP="005A5A5B">
            <w:pPr>
              <w:tabs>
                <w:tab w:val="left" w:pos="501"/>
              </w:tabs>
              <w:rPr>
                <w:rFonts w:ascii="Times New Roman" w:hAnsi="Times New Roman" w:cs="Times New Roman"/>
              </w:rPr>
            </w:pPr>
            <w:r w:rsidRPr="004503B5">
              <w:rPr>
                <w:rFonts w:ascii="Times New Roman" w:hAnsi="Times New Roman" w:cs="Times New Roman"/>
              </w:rPr>
              <w:t xml:space="preserve">&lt;1% (&lt;1 - &lt;1) </w:t>
            </w:r>
          </w:p>
        </w:tc>
      </w:tr>
    </w:tbl>
    <w:p w14:paraId="155DAFAC" w14:textId="77777777" w:rsidR="00094C4C" w:rsidRDefault="00094C4C" w:rsidP="00094C4C">
      <w:pPr>
        <w:rPr>
          <w:rFonts w:ascii="Times New Roman" w:hAnsi="Times New Roman" w:cs="Times New Roman"/>
          <w:b/>
        </w:rPr>
      </w:pPr>
      <w:r>
        <w:rPr>
          <w:rFonts w:cs="Times New Roman"/>
          <w:i/>
          <w:iCs/>
        </w:rPr>
        <w:br w:type="page"/>
      </w:r>
    </w:p>
    <w:p w14:paraId="0931E64F" w14:textId="6580FEDC" w:rsidR="00A67BF3" w:rsidRPr="006941F2" w:rsidRDefault="00A67BF3" w:rsidP="006941F2">
      <w:pPr>
        <w:pStyle w:val="Heading1"/>
        <w:rPr>
          <w:rFonts w:ascii="Times New Roman" w:hAnsi="Times New Roman" w:cs="Times New Roman"/>
          <w:b/>
          <w:color w:val="auto"/>
          <w:sz w:val="28"/>
          <w:szCs w:val="28"/>
        </w:rPr>
      </w:pPr>
      <w:r w:rsidRPr="006941F2">
        <w:rPr>
          <w:rFonts w:ascii="Times New Roman" w:hAnsi="Times New Roman" w:cs="Times New Roman"/>
          <w:b/>
          <w:color w:val="auto"/>
          <w:sz w:val="28"/>
          <w:szCs w:val="28"/>
        </w:rPr>
        <w:lastRenderedPageBreak/>
        <w:t xml:space="preserve">SUPPLEMENTAL FIGURES </w:t>
      </w:r>
    </w:p>
    <w:p w14:paraId="5BCEC1C4" w14:textId="6977A0C0" w:rsidR="00A26259" w:rsidRPr="00014EF4" w:rsidRDefault="00E619A2" w:rsidP="00386B99">
      <w:pPr>
        <w:rPr>
          <w:rFonts w:ascii="Times New Roman" w:hAnsi="Times New Roman" w:cs="Times New Roman"/>
          <w:b/>
        </w:rPr>
      </w:pPr>
      <w:r w:rsidRPr="00E619A2">
        <w:rPr>
          <w:rFonts w:ascii="Times New Roman" w:hAnsi="Times New Roman" w:cs="Times New Roman"/>
          <w:b/>
          <w:noProof/>
        </w:rPr>
        <w:drawing>
          <wp:inline distT="0" distB="0" distL="0" distR="0" wp14:anchorId="7B462D71" wp14:editId="4E368F45">
            <wp:extent cx="5943600" cy="3076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76575"/>
                    </a:xfrm>
                    <a:prstGeom prst="rect">
                      <a:avLst/>
                    </a:prstGeom>
                  </pic:spPr>
                </pic:pic>
              </a:graphicData>
            </a:graphic>
          </wp:inline>
        </w:drawing>
      </w:r>
    </w:p>
    <w:p w14:paraId="62B71E95" w14:textId="77777777" w:rsidR="00A26259" w:rsidRPr="00014EF4" w:rsidRDefault="00A26259" w:rsidP="00386B99">
      <w:pPr>
        <w:rPr>
          <w:rFonts w:ascii="Times New Roman" w:hAnsi="Times New Roman" w:cs="Times New Roman"/>
          <w:b/>
        </w:rPr>
      </w:pPr>
    </w:p>
    <w:p w14:paraId="6824B535" w14:textId="7EA0802A" w:rsidR="00A26259" w:rsidRPr="00014EF4" w:rsidRDefault="00990105" w:rsidP="00386B99">
      <w:pPr>
        <w:rPr>
          <w:rFonts w:ascii="Times New Roman" w:hAnsi="Times New Roman" w:cs="Times New Roman"/>
        </w:rPr>
      </w:pPr>
      <w:r w:rsidRPr="006941F2">
        <w:rPr>
          <w:rStyle w:val="Heading2Char"/>
          <w:rFonts w:ascii="Times New Roman" w:hAnsi="Times New Roman" w:cs="Times New Roman"/>
          <w:b/>
          <w:iCs/>
          <w:color w:val="auto"/>
          <w:sz w:val="24"/>
          <w:szCs w:val="24"/>
        </w:rPr>
        <w:t xml:space="preserve">Supplemental </w:t>
      </w:r>
      <w:r w:rsidR="004671B8" w:rsidRPr="006941F2">
        <w:rPr>
          <w:rStyle w:val="Heading2Char"/>
          <w:rFonts w:ascii="Times New Roman" w:hAnsi="Times New Roman" w:cs="Times New Roman"/>
          <w:b/>
          <w:iCs/>
          <w:color w:val="auto"/>
          <w:sz w:val="24"/>
          <w:szCs w:val="24"/>
        </w:rPr>
        <w:t>Fig</w:t>
      </w:r>
      <w:r w:rsidRPr="006941F2">
        <w:rPr>
          <w:rStyle w:val="Heading2Char"/>
          <w:rFonts w:ascii="Times New Roman" w:hAnsi="Times New Roman" w:cs="Times New Roman"/>
          <w:b/>
          <w:iCs/>
          <w:color w:val="auto"/>
          <w:sz w:val="24"/>
          <w:szCs w:val="24"/>
        </w:rPr>
        <w:t>ure</w:t>
      </w:r>
      <w:r w:rsidR="004671B8" w:rsidRPr="006941F2">
        <w:rPr>
          <w:rStyle w:val="Heading2Char"/>
          <w:rFonts w:ascii="Times New Roman" w:hAnsi="Times New Roman" w:cs="Times New Roman"/>
          <w:b/>
          <w:iCs/>
          <w:color w:val="auto"/>
          <w:sz w:val="24"/>
          <w:szCs w:val="24"/>
        </w:rPr>
        <w:t xml:space="preserve"> </w:t>
      </w:r>
      <w:r w:rsidRPr="006941F2">
        <w:rPr>
          <w:rStyle w:val="Heading2Char"/>
          <w:rFonts w:ascii="Times New Roman" w:hAnsi="Times New Roman" w:cs="Times New Roman"/>
          <w:b/>
          <w:iCs/>
          <w:color w:val="auto"/>
          <w:sz w:val="24"/>
          <w:szCs w:val="24"/>
        </w:rPr>
        <w:t>1</w:t>
      </w:r>
      <w:r w:rsidR="00A26259" w:rsidRPr="00014EF4">
        <w:rPr>
          <w:rFonts w:ascii="Times New Roman" w:hAnsi="Times New Roman" w:cs="Times New Roman"/>
          <w:b/>
        </w:rPr>
        <w:t xml:space="preserve"> </w:t>
      </w:r>
      <w:r w:rsidR="00A26259" w:rsidRPr="00014EF4">
        <w:rPr>
          <w:rFonts w:ascii="Times New Roman" w:hAnsi="Times New Roman" w:cs="Times New Roman"/>
        </w:rPr>
        <w:t>Structural pharmacokinetic-toxicodynamic model for linezolid concentration, hemoglobin level, platelet count, and peripheral neuropathy score</w:t>
      </w:r>
    </w:p>
    <w:p w14:paraId="634891C9" w14:textId="77777777" w:rsidR="00A26259" w:rsidRPr="00014EF4" w:rsidRDefault="00A26259" w:rsidP="00386B99">
      <w:pPr>
        <w:rPr>
          <w:rFonts w:ascii="Times New Roman" w:hAnsi="Times New Roman" w:cs="Times New Roman"/>
        </w:rPr>
      </w:pPr>
    </w:p>
    <w:p w14:paraId="720DBC8F" w14:textId="77777777" w:rsidR="00A26259" w:rsidRPr="00014EF4" w:rsidRDefault="00A26259" w:rsidP="00386B99">
      <w:pPr>
        <w:rPr>
          <w:rFonts w:ascii="Times New Roman" w:hAnsi="Times New Roman" w:cs="Times New Roman"/>
        </w:rPr>
      </w:pPr>
      <w:r w:rsidRPr="00014EF4">
        <w:rPr>
          <w:rFonts w:ascii="Times New Roman" w:hAnsi="Times New Roman" w:cs="Times New Roman"/>
        </w:rPr>
        <w:t xml:space="preserve">Pharmacokinetic model (orange): </w:t>
      </w:r>
    </w:p>
    <w:p w14:paraId="1407B369" w14:textId="77777777" w:rsidR="00A26259" w:rsidRPr="00014EF4" w:rsidRDefault="00A26259" w:rsidP="00386B99">
      <w:pPr>
        <w:ind w:left="288"/>
        <w:rPr>
          <w:rFonts w:ascii="Times New Roman" w:hAnsi="Times New Roman" w:cs="Times New Roman"/>
        </w:rPr>
      </w:pPr>
      <m:oMath>
        <m:r>
          <m:rPr>
            <m:sty m:val="p"/>
          </m:rPr>
          <w:rPr>
            <w:rFonts w:ascii="Cambria Math" w:hAnsi="Cambria Math" w:cs="Times New Roman"/>
          </w:rPr>
          <m:t>A</m:t>
        </m:r>
      </m:oMath>
      <w:r w:rsidRPr="00014E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Pr="00014EF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p</m:t>
            </m:r>
          </m:sub>
        </m:sSub>
      </m:oMath>
      <w:r w:rsidRPr="00014EF4">
        <w:rPr>
          <w:rFonts w:ascii="Times New Roman" w:hAnsi="Times New Roman" w:cs="Times New Roman"/>
        </w:rPr>
        <w:t>, amounts in absorption, central, and peripheral compartments;</w:t>
      </w:r>
    </w:p>
    <w:p w14:paraId="067A878F" w14:textId="77777777" w:rsidR="00A26259" w:rsidRPr="00014EF4" w:rsidRDefault="00E90ACF" w:rsidP="00386B99">
      <w:pPr>
        <w:ind w:left="288"/>
        <w:rPr>
          <w:rFonts w:ascii="Times New Roman" w:eastAsiaTheme="minorEastAsia" w:hAnsi="Times New Roman" w:cs="Times New Roman"/>
          <w:color w:val="000000"/>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oMath>
      <w:r w:rsidR="00A26259" w:rsidRPr="00014EF4">
        <w:rPr>
          <w:rFonts w:ascii="Times New Roman" w:eastAsiaTheme="minorEastAsia" w:hAnsi="Times New Roman" w:cs="Times New Roman"/>
          <w:color w:val="000000"/>
        </w:rPr>
        <w:t xml:space="preserve">, concentration of linezolid in central compartment (plasma), which equals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m:t>
            </m:r>
          </m:sub>
        </m:sSub>
      </m:oMath>
      <w:r w:rsidR="00A26259" w:rsidRPr="00014EF4">
        <w:rPr>
          <w:rFonts w:ascii="Times New Roman" w:eastAsiaTheme="minorEastAsia" w:hAnsi="Times New Roman" w:cs="Times New Roman"/>
        </w:rPr>
        <w:t>/</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oMath>
      <w:r w:rsidR="00A26259" w:rsidRPr="00014EF4">
        <w:rPr>
          <w:rFonts w:ascii="Times New Roman" w:eastAsiaTheme="minorEastAsia" w:hAnsi="Times New Roman" w:cs="Times New Roman"/>
          <w:color w:val="000000"/>
        </w:rPr>
        <w:t>.</w:t>
      </w:r>
    </w:p>
    <w:p w14:paraId="25AF2635" w14:textId="77777777" w:rsidR="00A26259" w:rsidRPr="00014EF4" w:rsidRDefault="00E90ACF" w:rsidP="00386B99">
      <w:pPr>
        <w:ind w:left="288"/>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oMath>
      <w:r w:rsidR="00A26259" w:rsidRPr="00014EF4">
        <w:rPr>
          <w:rFonts w:ascii="Times New Roman" w:hAnsi="Times New Roman" w:cs="Times New Roman"/>
        </w:rPr>
        <w:t xml:space="preserve">, Michaelis-Menten intrinsic clearance; </w:t>
      </w:r>
    </w:p>
    <w:p w14:paraId="4B598E01" w14:textId="77777777" w:rsidR="00A26259" w:rsidRPr="00014EF4" w:rsidRDefault="00E90ACF" w:rsidP="00386B99">
      <w:pPr>
        <w:ind w:left="288"/>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oMath>
      <w:r w:rsidR="00A26259" w:rsidRPr="00014EF4">
        <w:rPr>
          <w:rFonts w:ascii="Times New Roman" w:hAnsi="Times New Roman" w:cs="Times New Roman"/>
        </w:rPr>
        <w:t xml:space="preserve">, absorption rate constant; </w:t>
      </w:r>
    </w:p>
    <w:p w14:paraId="45A99288" w14:textId="77777777" w:rsidR="00A26259" w:rsidRPr="00014EF4" w:rsidRDefault="00E90ACF" w:rsidP="00386B99">
      <w:pPr>
        <w:ind w:left="288"/>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00A26259" w:rsidRPr="00014EF4">
        <w:rPr>
          <w:rFonts w:ascii="Times New Roman" w:hAnsi="Times New Roman" w:cs="Times New Roman"/>
        </w:rPr>
        <w:t xml:space="preserve">, Michaelis-Menten constant; </w:t>
      </w:r>
    </w:p>
    <w:p w14:paraId="156740E7" w14:textId="77777777" w:rsidR="00A26259" w:rsidRPr="00014EF4" w:rsidRDefault="00A26259" w:rsidP="00386B99">
      <w:pPr>
        <w:ind w:left="288"/>
        <w:rPr>
          <w:rFonts w:ascii="Times New Roman" w:hAnsi="Times New Roman" w:cs="Times New Roman"/>
        </w:rPr>
      </w:pPr>
      <m:oMath>
        <m:r>
          <w:rPr>
            <w:rFonts w:ascii="Cambria Math" w:hAnsi="Cambria Math" w:cs="Times New Roman"/>
          </w:rPr>
          <m:t>Q</m:t>
        </m:r>
      </m:oMath>
      <w:r w:rsidRPr="00014EF4">
        <w:rPr>
          <w:rFonts w:ascii="Times New Roman" w:hAnsi="Times New Roman" w:cs="Times New Roman"/>
        </w:rPr>
        <w:t xml:space="preserve">, apparent intercompartment clearance; </w:t>
      </w:r>
    </w:p>
    <w:p w14:paraId="35319B0F" w14:textId="77777777" w:rsidR="00A26259" w:rsidRPr="00014EF4" w:rsidRDefault="00E90ACF" w:rsidP="00386B99">
      <w:pPr>
        <w:ind w:left="288"/>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oMath>
      <w:r w:rsidR="00A26259" w:rsidRPr="00014EF4">
        <w:rPr>
          <w:rFonts w:ascii="Times New Roman" w:hAnsi="Times New Roman" w:cs="Times New Roman"/>
        </w:rPr>
        <w:t xml:space="preserve">, apparent central volume of distribution; </w:t>
      </w:r>
    </w:p>
    <w:p w14:paraId="4B1670AE" w14:textId="77777777" w:rsidR="00A26259" w:rsidRPr="00014EF4" w:rsidRDefault="00E90ACF" w:rsidP="00386B99">
      <w:pPr>
        <w:ind w:left="288"/>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oMath>
      <w:r w:rsidR="00A26259" w:rsidRPr="00014EF4">
        <w:rPr>
          <w:rFonts w:ascii="Times New Roman" w:hAnsi="Times New Roman" w:cs="Times New Roman"/>
        </w:rPr>
        <w:t xml:space="preserve">, apparent peripheral volume of distribution; </w:t>
      </w:r>
    </w:p>
    <w:p w14:paraId="36EDA212" w14:textId="77777777" w:rsidR="00A26259" w:rsidRPr="00014EF4" w:rsidRDefault="00E90ACF" w:rsidP="00386B99">
      <w:pPr>
        <w:ind w:left="288"/>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MAX</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CL</m:t>
            </m:r>
          </m:e>
          <m:sub>
            <m:r>
              <w:rPr>
                <w:rFonts w:ascii="Cambria Math" w:hAnsi="Cambria Math" w:cs="Times New Roman"/>
              </w:rPr>
              <m:t>int</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00A26259" w:rsidRPr="00014EF4">
        <w:rPr>
          <w:rFonts w:ascii="Times New Roman" w:hAnsi="Times New Roman" w:cs="Times New Roman"/>
        </w:rPr>
        <w:t xml:space="preserve">, maximum rate of elimination (saturated elimination). </w:t>
      </w:r>
    </w:p>
    <w:p w14:paraId="556F64BB" w14:textId="77777777" w:rsidR="00A26259" w:rsidRPr="00014EF4" w:rsidRDefault="00A26259" w:rsidP="00386B99">
      <w:pPr>
        <w:rPr>
          <w:rFonts w:ascii="Times New Roman" w:hAnsi="Times New Roman" w:cs="Times New Roman"/>
        </w:rPr>
      </w:pPr>
    </w:p>
    <w:p w14:paraId="2D782BC2" w14:textId="77777777" w:rsidR="00A26259" w:rsidRPr="00014EF4" w:rsidRDefault="00A26259" w:rsidP="00386B99">
      <w:pPr>
        <w:rPr>
          <w:rFonts w:ascii="Times New Roman" w:hAnsi="Times New Roman" w:cs="Times New Roman"/>
        </w:rPr>
      </w:pPr>
      <w:r w:rsidRPr="00014EF4">
        <w:rPr>
          <w:rFonts w:ascii="Times New Roman" w:hAnsi="Times New Roman" w:cs="Times New Roman"/>
        </w:rPr>
        <w:t xml:space="preserve">Peripheral neuropathy score model (blue): </w:t>
      </w:r>
    </w:p>
    <w:p w14:paraId="76337270"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E</m:t>
            </m:r>
          </m:sub>
        </m:sSub>
      </m:oMath>
      <w:r w:rsidR="00A26259" w:rsidRPr="00014EF4">
        <w:rPr>
          <w:rFonts w:ascii="Times New Roman" w:hAnsi="Times New Roman" w:cs="Times New Roman"/>
        </w:rPr>
        <w:t xml:space="preserve">, linezolid concentrations in effect compartment. </w:t>
      </w:r>
    </w:p>
    <w:p w14:paraId="2EBA1F09" w14:textId="0614FD8E"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PN</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E</m:t>
            </m:r>
          </m:sub>
        </m:sSub>
        <m:r>
          <w:rPr>
            <w:rFonts w:ascii="Cambria Math" w:eastAsia="Times New Roman" w:hAnsi="Cambria Math" w:cs="Times New Roman"/>
          </w:rPr>
          <m:t>)</m:t>
        </m:r>
      </m:oMath>
      <w:r w:rsidR="00A26259" w:rsidRPr="00014EF4">
        <w:rPr>
          <w:rFonts w:ascii="Times New Roman" w:hAnsi="Times New Roman" w:cs="Times New Roman"/>
        </w:rPr>
        <w:t xml:space="preserve">, linezolid drug exposure-response relationship of peripheral neuropathy score model that depends on effective </w:t>
      </w:r>
      <w:r w:rsidR="00A26259" w:rsidRPr="00014EF4">
        <w:rPr>
          <w:rFonts w:ascii="Times New Roman" w:eastAsiaTheme="minorEastAsia" w:hAnsi="Times New Roman" w:cs="Times New Roman"/>
          <w:color w:val="000000"/>
        </w:rPr>
        <w:t xml:space="preserve">concentration of linezolid in </w:t>
      </w:r>
      <w:r w:rsidR="00A26259" w:rsidRPr="00014EF4">
        <w:rPr>
          <w:rFonts w:ascii="Times New Roman" w:hAnsi="Times New Roman" w:cs="Times New Roman"/>
        </w:rPr>
        <w:t xml:space="preserve">effect </w:t>
      </w:r>
      <w:r w:rsidR="00A26259" w:rsidRPr="00014EF4">
        <w:rPr>
          <w:rFonts w:ascii="Times New Roman" w:eastAsiaTheme="minorEastAsia" w:hAnsi="Times New Roman" w:cs="Times New Roman"/>
          <w:color w:val="000000"/>
        </w:rPr>
        <w:t xml:space="preserve">compartment,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E</m:t>
            </m:r>
          </m:sub>
        </m:sSub>
      </m:oMath>
      <w:r w:rsidR="00A26259" w:rsidRPr="00014EF4">
        <w:rPr>
          <w:rFonts w:ascii="Times New Roman" w:eastAsiaTheme="minorEastAsia" w:hAnsi="Times New Roman" w:cs="Times New Roman"/>
          <w:color w:val="000000"/>
        </w:rPr>
        <w:t xml:space="preserve">; </w:t>
      </w:r>
    </w:p>
    <w:p w14:paraId="354568EC" w14:textId="77777777" w:rsidR="00A26259" w:rsidRPr="00014EF4" w:rsidRDefault="00A26259" w:rsidP="00386B99">
      <w:pPr>
        <w:ind w:left="450" w:hanging="180"/>
        <w:rPr>
          <w:rFonts w:ascii="Times New Roman" w:hAnsi="Times New Roman" w:cs="Times New Roman"/>
        </w:rPr>
      </w:pPr>
      <w:r w:rsidRPr="00014EF4">
        <w:rPr>
          <w:rFonts w:ascii="Times New Roman" w:hAnsi="Times New Roman" w:cs="Times New Roman"/>
        </w:rPr>
        <w:t>k</w:t>
      </w:r>
      <w:r w:rsidRPr="00014EF4">
        <w:rPr>
          <w:rFonts w:ascii="Times New Roman" w:hAnsi="Times New Roman" w:cs="Times New Roman"/>
          <w:vertAlign w:val="subscript"/>
        </w:rPr>
        <w:t>e0</w:t>
      </w:r>
      <w:r w:rsidRPr="00014EF4">
        <w:rPr>
          <w:rFonts w:ascii="Times New Roman" w:hAnsi="Times New Roman" w:cs="Times New Roman"/>
        </w:rPr>
        <w:t>, first order effect compartment rate constant.</w:t>
      </w:r>
    </w:p>
    <w:p w14:paraId="42D6F89B" w14:textId="77777777" w:rsidR="00A26259" w:rsidRPr="00014EF4" w:rsidRDefault="00A26259" w:rsidP="00386B99">
      <w:pPr>
        <w:rPr>
          <w:rFonts w:ascii="Times New Roman" w:hAnsi="Times New Roman" w:cs="Times New Roman"/>
        </w:rPr>
      </w:pPr>
    </w:p>
    <w:p w14:paraId="4C0C281A" w14:textId="77777777" w:rsidR="00A26259" w:rsidRPr="00014EF4" w:rsidRDefault="00A26259" w:rsidP="00386B99">
      <w:pPr>
        <w:rPr>
          <w:rFonts w:ascii="Times New Roman" w:hAnsi="Times New Roman" w:cs="Times New Roman"/>
        </w:rPr>
      </w:pPr>
      <w:r w:rsidRPr="00014EF4">
        <w:rPr>
          <w:rFonts w:ascii="Times New Roman" w:hAnsi="Times New Roman" w:cs="Times New Roman"/>
        </w:rPr>
        <w:t xml:space="preserve">Hemoglobin level model (red): </w:t>
      </w:r>
    </w:p>
    <w:p w14:paraId="096B4677" w14:textId="77777777" w:rsidR="00A26259" w:rsidRPr="00014EF4" w:rsidRDefault="00A26259" w:rsidP="00386B99">
      <w:pPr>
        <w:ind w:left="288"/>
        <w:rPr>
          <w:rFonts w:ascii="Times New Roman" w:hAnsi="Times New Roman" w:cs="Times New Roman"/>
        </w:rPr>
      </w:pPr>
      <m:oMath>
        <m:r>
          <w:rPr>
            <w:rFonts w:ascii="Cambria Math" w:eastAsia="Times New Roman" w:hAnsi="Cambria Math" w:cs="Times New Roman"/>
          </w:rPr>
          <m:t>Hb</m:t>
        </m:r>
      </m:oMath>
      <w:r w:rsidRPr="00014EF4">
        <w:rPr>
          <w:rFonts w:ascii="Times New Roman" w:hAnsi="Times New Roman" w:cs="Times New Roman"/>
        </w:rPr>
        <w:t xml:space="preserve">, hemoglobin level in response compartment. </w:t>
      </w:r>
    </w:p>
    <w:p w14:paraId="737AEE9C"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Hb</m:t>
            </m:r>
          </m:e>
          <m:sub>
            <m:r>
              <w:rPr>
                <w:rFonts w:ascii="Cambria Math" w:eastAsia="Times New Roman" w:hAnsi="Cambria Math" w:cs="Times New Roman"/>
              </w:rPr>
              <m:t>0</m:t>
            </m:r>
          </m:sub>
        </m:sSub>
      </m:oMath>
      <w:r w:rsidR="00A26259" w:rsidRPr="00014EF4">
        <w:rPr>
          <w:rFonts w:ascii="Times New Roman" w:hAnsi="Times New Roman" w:cs="Times New Roman"/>
        </w:rPr>
        <w:t>, pretreatment hemoglobin level;</w:t>
      </w:r>
    </w:p>
    <w:p w14:paraId="4E20DD64"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out</m:t>
            </m:r>
          </m:sub>
        </m:sSub>
      </m:oMath>
      <w:r w:rsidR="00A26259" w:rsidRPr="00014EF4">
        <w:rPr>
          <w:rFonts w:ascii="Times New Roman" w:hAnsi="Times New Roman" w:cs="Times New Roman"/>
        </w:rPr>
        <w:t xml:space="preserve">, first order hemoglobin elimination rate constant; </w:t>
      </w:r>
    </w:p>
    <w:p w14:paraId="5DDA35F2"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in</m:t>
            </m:r>
          </m:sub>
        </m:sSub>
      </m:oMath>
      <w:r w:rsidR="00A26259" w:rsidRPr="00014EF4">
        <w:rPr>
          <w:rFonts w:ascii="Times New Roman" w:hAnsi="Times New Roman" w:cs="Times New Roman"/>
        </w:rPr>
        <w:t>, zero-order hemoglobin synthesis rate constant, equals the product of Hb</w:t>
      </w:r>
      <w:r w:rsidR="00A26259" w:rsidRPr="00014EF4">
        <w:rPr>
          <w:rFonts w:ascii="Times New Roman" w:hAnsi="Times New Roman" w:cs="Times New Roman"/>
          <w:vertAlign w:val="subscript"/>
        </w:rPr>
        <w:t>0</w:t>
      </w:r>
      <w:r w:rsidR="00A26259" w:rsidRPr="00014EF4">
        <w:rPr>
          <w:rFonts w:ascii="Times New Roman" w:hAnsi="Times New Roman" w:cs="Times New Roman"/>
        </w:rPr>
        <w:t xml:space="preserve"> and k</w:t>
      </w:r>
      <w:r w:rsidR="00A26259" w:rsidRPr="00014EF4">
        <w:rPr>
          <w:rFonts w:ascii="Times New Roman" w:hAnsi="Times New Roman" w:cs="Times New Roman"/>
          <w:vertAlign w:val="subscript"/>
        </w:rPr>
        <w:t>out</w:t>
      </w:r>
      <w:r w:rsidR="00A26259" w:rsidRPr="00014EF4">
        <w:rPr>
          <w:rFonts w:ascii="Times New Roman" w:hAnsi="Times New Roman" w:cs="Times New Roman"/>
        </w:rPr>
        <w:t xml:space="preserve">; </w:t>
      </w:r>
    </w:p>
    <w:p w14:paraId="17545EFB"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cap</m:t>
            </m:r>
          </m:sub>
        </m:sSub>
      </m:oMath>
      <w:r w:rsidR="00A26259" w:rsidRPr="00014EF4">
        <w:rPr>
          <w:rFonts w:ascii="Times New Roman" w:hAnsi="Times New Roman" w:cs="Times New Roman"/>
        </w:rPr>
        <w:t>, maximum hemoglobin level for logistic growth function describing improved</w:t>
      </w:r>
    </w:p>
    <w:p w14:paraId="1ACC8366" w14:textId="77777777" w:rsidR="00A26259" w:rsidRPr="00014EF4" w:rsidRDefault="00A26259" w:rsidP="00386B99">
      <w:pPr>
        <w:ind w:left="288"/>
        <w:rPr>
          <w:rFonts w:ascii="Times New Roman" w:hAnsi="Times New Roman" w:cs="Times New Roman"/>
        </w:rPr>
      </w:pPr>
      <w:r w:rsidRPr="00014EF4">
        <w:rPr>
          <w:rFonts w:ascii="Times New Roman" w:hAnsi="Times New Roman" w:cs="Times New Roman"/>
        </w:rPr>
        <w:lastRenderedPageBreak/>
        <w:t>hemoglobin levels upon initiating anti-TB treatment</w:t>
      </w:r>
    </w:p>
    <w:p w14:paraId="32D9AD15"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TRT</m:t>
            </m:r>
          </m:e>
          <m:sub>
            <m:r>
              <w:rPr>
                <w:rFonts w:ascii="Cambria Math" w:eastAsia="Times New Roman" w:hAnsi="Cambria Math" w:cs="Times New Roman"/>
              </w:rPr>
              <m:t>rate</m:t>
            </m:r>
          </m:sub>
        </m:sSub>
      </m:oMath>
      <w:r w:rsidR="00A26259" w:rsidRPr="00014EF4">
        <w:rPr>
          <w:rFonts w:ascii="Times New Roman" w:hAnsi="Times New Roman" w:cs="Times New Roman"/>
        </w:rPr>
        <w:t>, rate of increase in hemoglobin for logistic growth function describing improved hemoglobin levels upon initiating anti-TB treatment.</w:t>
      </w:r>
    </w:p>
    <w:p w14:paraId="2D6E3267" w14:textId="09887004"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Hb</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oMath>
      <w:r w:rsidR="00A26259" w:rsidRPr="00014EF4">
        <w:rPr>
          <w:rFonts w:ascii="Times New Roman" w:hAnsi="Times New Roman" w:cs="Times New Roman"/>
        </w:rPr>
        <w:t xml:space="preserve">, linezolid drug exposure-response relationship of hemoglobin level model that depends on </w:t>
      </w:r>
      <w:r w:rsidR="00A26259" w:rsidRPr="00014EF4">
        <w:rPr>
          <w:rFonts w:ascii="Times New Roman" w:eastAsiaTheme="minorEastAsia" w:hAnsi="Times New Roman" w:cs="Times New Roman"/>
          <w:color w:val="000000"/>
        </w:rPr>
        <w:t xml:space="preserve">concentration of linezolid in central compartment (plasma) of PK model,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oMath>
      <w:r w:rsidR="00A26259" w:rsidRPr="00014EF4">
        <w:rPr>
          <w:rFonts w:ascii="Times New Roman" w:eastAsiaTheme="minorEastAsia" w:hAnsi="Times New Roman" w:cs="Times New Roman"/>
          <w:color w:val="000000"/>
        </w:rPr>
        <w:t xml:space="preserve">. </w:t>
      </w:r>
    </w:p>
    <w:p w14:paraId="7790598E" w14:textId="77777777" w:rsidR="00A26259" w:rsidRPr="00014EF4" w:rsidRDefault="00A26259" w:rsidP="00386B99">
      <w:pPr>
        <w:rPr>
          <w:rFonts w:ascii="Times New Roman" w:hAnsi="Times New Roman" w:cs="Times New Roman"/>
        </w:rPr>
      </w:pPr>
    </w:p>
    <w:p w14:paraId="77C8A002" w14:textId="77777777" w:rsidR="00A26259" w:rsidRPr="00014EF4" w:rsidRDefault="00A26259" w:rsidP="00386B99">
      <w:pPr>
        <w:rPr>
          <w:rFonts w:ascii="Times New Roman" w:hAnsi="Times New Roman" w:cs="Times New Roman"/>
        </w:rPr>
      </w:pPr>
      <w:r w:rsidRPr="00014EF4">
        <w:rPr>
          <w:rFonts w:ascii="Times New Roman" w:hAnsi="Times New Roman" w:cs="Times New Roman"/>
        </w:rPr>
        <w:t xml:space="preserve">Platelet model (green): </w:t>
      </w:r>
    </w:p>
    <w:p w14:paraId="66AF5DA4" w14:textId="77777777" w:rsidR="00A26259" w:rsidRPr="00014EF4" w:rsidRDefault="00A26259" w:rsidP="00386B99">
      <w:pPr>
        <w:ind w:left="288"/>
        <w:rPr>
          <w:rFonts w:ascii="Times New Roman" w:hAnsi="Times New Roman" w:cs="Times New Roman"/>
        </w:rPr>
      </w:pPr>
      <m:oMath>
        <m:r>
          <w:rPr>
            <w:rFonts w:ascii="Cambria Math" w:eastAsia="Times New Roman" w:hAnsi="Cambria Math" w:cs="Times New Roman"/>
          </w:rPr>
          <m:t>Circ</m:t>
        </m:r>
      </m:oMath>
      <w:r w:rsidRPr="00014EF4">
        <w:rPr>
          <w:rFonts w:ascii="Times New Roman" w:hAnsi="Times New Roman" w:cs="Times New Roman"/>
        </w:rPr>
        <w:t xml:space="preserve">, platelet count in circulation compartment; </w:t>
      </w:r>
    </w:p>
    <w:p w14:paraId="70A85296" w14:textId="77777777" w:rsidR="00A26259" w:rsidRPr="00014EF4" w:rsidRDefault="00A26259" w:rsidP="00386B99">
      <w:pPr>
        <w:ind w:left="288"/>
        <w:rPr>
          <w:rFonts w:ascii="Times New Roman" w:hAnsi="Times New Roman" w:cs="Times New Roman"/>
        </w:rPr>
      </w:pPr>
      <m:oMath>
        <m:r>
          <w:rPr>
            <w:rFonts w:ascii="Cambria Math" w:eastAsia="Times New Roman" w:hAnsi="Cambria Math" w:cs="Times New Roman"/>
          </w:rPr>
          <m:t>Prol</m:t>
        </m:r>
      </m:oMath>
      <w:r w:rsidRPr="00014EF4">
        <w:rPr>
          <w:rFonts w:ascii="Times New Roman" w:hAnsi="Times New Roman" w:cs="Times New Roman"/>
        </w:rPr>
        <w:t xml:space="preserve">, proliferative/progenitor platelet compartment; </w:t>
      </w:r>
    </w:p>
    <w:p w14:paraId="047547EC"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1</m:t>
            </m:r>
          </m:sub>
        </m:sSub>
      </m:oMath>
      <w:r w:rsidR="00A26259" w:rsidRPr="00014EF4">
        <w:rPr>
          <w:rFonts w:ascii="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2</m:t>
            </m:r>
          </m:sub>
        </m:sSub>
      </m:oMath>
      <w:r w:rsidR="00A26259" w:rsidRPr="00014EF4">
        <w:rPr>
          <w:rFonts w:ascii="Times New Roman" w:hAnsi="Times New Roman" w:cs="Times New Roman"/>
        </w:rPr>
        <w:t xml:space="preserve">, and </w:t>
      </w:r>
      <m:oMath>
        <m:sSub>
          <m:sSubPr>
            <m:ctrlPr>
              <w:rPr>
                <w:rFonts w:ascii="Cambria Math" w:eastAsia="Times New Roman" w:hAnsi="Cambria Math" w:cs="Times New Roman"/>
                <w:i/>
              </w:rPr>
            </m:ctrlPr>
          </m:sSubPr>
          <m:e>
            <m:r>
              <w:rPr>
                <w:rFonts w:ascii="Cambria Math" w:eastAsia="Times New Roman" w:hAnsi="Cambria Math" w:cs="Times New Roman"/>
              </w:rPr>
              <m:t>Transit</m:t>
            </m:r>
          </m:e>
          <m:sub>
            <m:r>
              <w:rPr>
                <w:rFonts w:ascii="Cambria Math" w:eastAsia="Times New Roman" w:hAnsi="Cambria Math" w:cs="Times New Roman"/>
              </w:rPr>
              <m:t>3</m:t>
            </m:r>
          </m:sub>
        </m:sSub>
      </m:oMath>
      <w:r w:rsidR="00A26259" w:rsidRPr="00014EF4">
        <w:rPr>
          <w:rFonts w:ascii="Times New Roman" w:hAnsi="Times New Roman" w:cs="Times New Roman"/>
        </w:rPr>
        <w:t>, transit compartments representing levels of platelet maturation.</w:t>
      </w:r>
    </w:p>
    <w:p w14:paraId="2254CCED"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Circ</m:t>
            </m:r>
          </m:e>
          <m:sub>
            <m:r>
              <w:rPr>
                <w:rFonts w:ascii="Cambria Math" w:eastAsia="Times New Roman" w:hAnsi="Cambria Math" w:cs="Times New Roman"/>
              </w:rPr>
              <m:t>0</m:t>
            </m:r>
          </m:sub>
        </m:sSub>
      </m:oMath>
      <w:r w:rsidR="00A26259" w:rsidRPr="00014EF4">
        <w:rPr>
          <w:rFonts w:ascii="Times New Roman" w:hAnsi="Times New Roman" w:cs="Times New Roman"/>
        </w:rPr>
        <w:t xml:space="preserve">, pretreatment platelet count; </w:t>
      </w:r>
    </w:p>
    <w:p w14:paraId="2A466FAC" w14:textId="77777777" w:rsidR="00A26259" w:rsidRPr="00014EF4" w:rsidRDefault="00A26259" w:rsidP="00386B99">
      <w:pPr>
        <w:ind w:left="288"/>
        <w:rPr>
          <w:rFonts w:ascii="Times New Roman" w:hAnsi="Times New Roman" w:cs="Times New Roman"/>
        </w:rPr>
      </w:pPr>
      <m:oMath>
        <m:r>
          <w:rPr>
            <w:rFonts w:ascii="Cambria Math" w:hAnsi="Cambria Math" w:cs="Times New Roman"/>
          </w:rPr>
          <m:t>γ</m:t>
        </m:r>
      </m:oMath>
      <w:r w:rsidRPr="00014EF4">
        <w:rPr>
          <w:rFonts w:ascii="Times New Roman" w:hAnsi="Times New Roman" w:cs="Times New Roman"/>
        </w:rPr>
        <w:t xml:space="preserve">, homeostatic feedback parameter; </w:t>
      </w:r>
    </w:p>
    <w:p w14:paraId="6B36EF93"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prol</m:t>
            </m:r>
          </m:sub>
        </m:sSub>
      </m:oMath>
      <w:r w:rsidR="00A26259" w:rsidRPr="00014EF4">
        <w:rPr>
          <w:rFonts w:ascii="Times New Roman" w:hAnsi="Times New Roman" w:cs="Times New Roman"/>
        </w:rPr>
        <w:t xml:space="preserve">, first-order proliferation rate constant for progenitor cells, assumed equal to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00A26259" w:rsidRPr="00014EF4">
        <w:rPr>
          <w:rFonts w:ascii="Times New Roman" w:hAnsi="Times New Roman" w:cs="Times New Roman"/>
        </w:rPr>
        <w:t xml:space="preserve">; </w:t>
      </w:r>
    </w:p>
    <w:p w14:paraId="3591CF4B"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00A26259" w:rsidRPr="00014EF4">
        <w:rPr>
          <w:rFonts w:ascii="Times New Roman" w:hAnsi="Times New Roman" w:cs="Times New Roman"/>
        </w:rPr>
        <w:t xml:space="preserve">, first-order transit rate constant; </w:t>
      </w:r>
    </w:p>
    <w:p w14:paraId="35CA3182" w14:textId="77777777" w:rsidR="00A26259" w:rsidRPr="00014EF4" w:rsidRDefault="00E90ACF" w:rsidP="00386B99">
      <w:pPr>
        <w:ind w:left="288"/>
        <w:rPr>
          <w:rFonts w:ascii="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circ</m:t>
            </m:r>
          </m:sub>
        </m:sSub>
      </m:oMath>
      <w:r w:rsidR="00A26259" w:rsidRPr="00014EF4">
        <w:rPr>
          <w:rFonts w:ascii="Times New Roman" w:hAnsi="Times New Roman" w:cs="Times New Roman"/>
        </w:rPr>
        <w:t xml:space="preserve">, first-order rate of platelet elimination from circulation compartment, assumed equal to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00A26259" w:rsidRPr="00014EF4">
        <w:rPr>
          <w:rFonts w:ascii="Times New Roman" w:hAnsi="Times New Roman" w:cs="Times New Roman"/>
        </w:rPr>
        <w:t xml:space="preserve">; </w:t>
      </w:r>
    </w:p>
    <w:p w14:paraId="28DA2A16" w14:textId="77777777" w:rsidR="00A26259" w:rsidRPr="00014EF4" w:rsidRDefault="00A26259" w:rsidP="00386B99">
      <w:pPr>
        <w:ind w:left="288"/>
        <w:rPr>
          <w:rFonts w:ascii="Times New Roman" w:hAnsi="Times New Roman" w:cs="Times New Roman"/>
        </w:rPr>
      </w:pPr>
      <m:oMath>
        <m:r>
          <w:rPr>
            <w:rFonts w:ascii="Cambria Math" w:eastAsia="Times New Roman" w:hAnsi="Cambria Math" w:cs="Times New Roman"/>
          </w:rPr>
          <m:t>MTT</m:t>
        </m:r>
      </m:oMath>
      <w:r w:rsidRPr="00014EF4">
        <w:rPr>
          <w:rFonts w:ascii="Times New Roman" w:hAnsi="Times New Roman" w:cs="Times New Roman"/>
        </w:rPr>
        <w:t xml:space="preserve">, mean transit time, which equals </w:t>
      </w:r>
      <m:oMath>
        <m:r>
          <w:rPr>
            <w:rFonts w:ascii="Cambria Math" w:eastAsia="Times New Roman" w:hAnsi="Cambria Math" w:cs="Times New Roman"/>
          </w:rPr>
          <m:t>4/</m:t>
        </m:r>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tr</m:t>
            </m:r>
          </m:sub>
        </m:sSub>
      </m:oMath>
      <w:r w:rsidRPr="00014EF4">
        <w:rPr>
          <w:rFonts w:ascii="Times New Roman" w:eastAsiaTheme="minorEastAsia" w:hAnsi="Times New Roman" w:cs="Times New Roman"/>
        </w:rPr>
        <w:t>.</w:t>
      </w:r>
    </w:p>
    <w:p w14:paraId="548D4A02" w14:textId="2DAD18B0" w:rsidR="00A26259" w:rsidRDefault="00E90ACF" w:rsidP="00386B99">
      <w:pPr>
        <w:ind w:left="288"/>
        <w:rPr>
          <w:rFonts w:ascii="Times New Roman" w:eastAsiaTheme="minorEastAsia" w:hAnsi="Times New Roman" w:cs="Times New Roman"/>
          <w:color w:val="000000"/>
        </w:rPr>
      </w:pPr>
      <m:oMath>
        <m:sSub>
          <m:sSubPr>
            <m:ctrlPr>
              <w:rPr>
                <w:rFonts w:ascii="Cambria Math" w:eastAsia="Times New Roman" w:hAnsi="Cambria Math" w:cs="Times New Roman"/>
                <w:i/>
              </w:rPr>
            </m:ctrlPr>
          </m:sSubPr>
          <m:e>
            <m:r>
              <w:rPr>
                <w:rFonts w:ascii="Cambria Math" w:eastAsia="Times New Roman" w:hAnsi="Cambria Math" w:cs="Times New Roman"/>
              </w:rPr>
              <m:t>E</m:t>
            </m:r>
          </m:e>
          <m:sub>
            <m:r>
              <w:rPr>
                <w:rFonts w:ascii="Cambria Math" w:eastAsia="Times New Roman" w:hAnsi="Cambria Math" w:cs="Times New Roman"/>
              </w:rPr>
              <m:t>Platelet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P</m:t>
            </m:r>
          </m:sub>
        </m:sSub>
        <m:r>
          <w:rPr>
            <w:rFonts w:ascii="Cambria Math" w:eastAsia="Times New Roman" w:hAnsi="Cambria Math" w:cs="Times New Roman"/>
          </w:rPr>
          <m:t>)</m:t>
        </m:r>
      </m:oMath>
      <w:r w:rsidR="00A26259" w:rsidRPr="00014EF4">
        <w:rPr>
          <w:rFonts w:ascii="Times New Roman" w:hAnsi="Times New Roman" w:cs="Times New Roman"/>
        </w:rPr>
        <w:t xml:space="preserve">, linezolid drug exposure-response relationship of platelet count model that depends on </w:t>
      </w:r>
      <w:r w:rsidR="00A26259" w:rsidRPr="00014EF4">
        <w:rPr>
          <w:rFonts w:ascii="Times New Roman" w:eastAsiaTheme="minorEastAsia" w:hAnsi="Times New Roman" w:cs="Times New Roman"/>
          <w:color w:val="000000"/>
        </w:rPr>
        <w:t xml:space="preserve">concentration of linezolid in central compartment (plasma) of PK model,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C</m:t>
            </m:r>
          </m:e>
          <m:sub>
            <m:r>
              <w:rPr>
                <w:rFonts w:ascii="Cambria Math" w:eastAsia="Times New Roman" w:hAnsi="Cambria Math" w:cs="Times New Roman"/>
                <w:color w:val="000000"/>
              </w:rPr>
              <m:t>p</m:t>
            </m:r>
          </m:sub>
        </m:sSub>
      </m:oMath>
      <w:r w:rsidR="00A26259" w:rsidRPr="00014EF4">
        <w:rPr>
          <w:rFonts w:ascii="Times New Roman" w:eastAsiaTheme="minorEastAsia" w:hAnsi="Times New Roman" w:cs="Times New Roman"/>
          <w:color w:val="000000"/>
        </w:rPr>
        <w:t xml:space="preserve">. </w:t>
      </w:r>
    </w:p>
    <w:p w14:paraId="180B30E4" w14:textId="5925CD11" w:rsidR="00D669DC" w:rsidRDefault="00D669DC" w:rsidP="00D669DC">
      <w:pPr>
        <w:rPr>
          <w:rFonts w:ascii="Times New Roman" w:eastAsiaTheme="minorEastAsia" w:hAnsi="Times New Roman" w:cs="Times New Roman"/>
          <w:color w:val="000000"/>
        </w:rPr>
      </w:pPr>
    </w:p>
    <w:p w14:paraId="1A38E250" w14:textId="430FC030" w:rsidR="00D669DC" w:rsidRDefault="00D669DC" w:rsidP="006941F2">
      <w:pPr>
        <w:rPr>
          <w:rFonts w:ascii="Times New Roman" w:eastAsiaTheme="minorEastAsia" w:hAnsi="Times New Roman" w:cs="Times New Roman"/>
          <w:color w:val="000000"/>
        </w:rPr>
      </w:pPr>
      <w:r>
        <w:rPr>
          <w:rFonts w:ascii="Times New Roman" w:eastAsiaTheme="minorEastAsia" w:hAnsi="Times New Roman" w:cs="Times New Roman"/>
          <w:color w:val="000000"/>
        </w:rPr>
        <w:t xml:space="preserve">Additional details about each model are available in the Supplemental Methods and Supplemental Tables 1 to </w:t>
      </w:r>
      <w:r w:rsidR="006B4BAD">
        <w:rPr>
          <w:rFonts w:ascii="Times New Roman" w:eastAsiaTheme="minorEastAsia" w:hAnsi="Times New Roman" w:cs="Times New Roman"/>
          <w:color w:val="000000"/>
        </w:rPr>
        <w:t xml:space="preserve">7. </w:t>
      </w:r>
    </w:p>
    <w:p w14:paraId="6BDDD61B" w14:textId="4DF96C7A" w:rsidR="006B7866" w:rsidRDefault="006B7866">
      <w:pPr>
        <w:rPr>
          <w:rFonts w:ascii="Times New Roman" w:eastAsiaTheme="minorEastAsia" w:hAnsi="Times New Roman" w:cs="Times New Roman"/>
        </w:rPr>
      </w:pPr>
      <w:r>
        <w:rPr>
          <w:rFonts w:ascii="Times New Roman" w:eastAsiaTheme="minorEastAsia" w:hAnsi="Times New Roman" w:cs="Times New Roman"/>
        </w:rPr>
        <w:br w:type="page"/>
      </w:r>
    </w:p>
    <w:p w14:paraId="696BCFF2" w14:textId="77777777" w:rsidR="006B7866" w:rsidRDefault="006B7866" w:rsidP="006B7866">
      <w:pPr>
        <w:rPr>
          <w:b/>
          <w:color w:val="201F1E"/>
          <w:shd w:val="clear" w:color="auto" w:fill="FFFFFF"/>
        </w:rPr>
      </w:pPr>
      <w:r>
        <w:rPr>
          <w:b/>
          <w:noProof/>
          <w:color w:val="201F1E"/>
          <w:shd w:val="clear" w:color="auto" w:fill="FFFFFF"/>
        </w:rPr>
        <w:lastRenderedPageBreak/>
        <w:drawing>
          <wp:inline distT="0" distB="0" distL="0" distR="0" wp14:anchorId="1A0071A7" wp14:editId="1E14C892">
            <wp:extent cx="4953000" cy="2682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Ndistribution_formatted.pdf"/>
                    <pic:cNvPicPr/>
                  </pic:nvPicPr>
                  <pic:blipFill>
                    <a:blip r:embed="rId9" cstate="email">
                      <a:extLst>
                        <a:ext uri="{28A0092B-C50C-407E-A947-70E740481C1C}">
                          <a14:useLocalDpi xmlns:a14="http://schemas.microsoft.com/office/drawing/2010/main"/>
                        </a:ext>
                      </a:extLst>
                    </a:blip>
                    <a:stretch>
                      <a:fillRect/>
                    </a:stretch>
                  </pic:blipFill>
                  <pic:spPr>
                    <a:xfrm>
                      <a:off x="0" y="0"/>
                      <a:ext cx="4956140" cy="2684576"/>
                    </a:xfrm>
                    <a:prstGeom prst="rect">
                      <a:avLst/>
                    </a:prstGeom>
                  </pic:spPr>
                </pic:pic>
              </a:graphicData>
            </a:graphic>
          </wp:inline>
        </w:drawing>
      </w:r>
    </w:p>
    <w:p w14:paraId="68157398" w14:textId="6AD26B3D" w:rsidR="006B7866" w:rsidRPr="006941F2" w:rsidRDefault="006B7866" w:rsidP="006B7866">
      <w:pPr>
        <w:rPr>
          <w:rFonts w:ascii="Times New Roman" w:hAnsi="Times New Roman" w:cs="Times New Roman"/>
          <w:color w:val="201F1E"/>
          <w:shd w:val="clear" w:color="auto" w:fill="FFFFFF"/>
        </w:rPr>
      </w:pPr>
      <w:r w:rsidRPr="006941F2">
        <w:rPr>
          <w:rStyle w:val="Heading2Char"/>
          <w:rFonts w:ascii="Times New Roman" w:hAnsi="Times New Roman" w:cs="Times New Roman"/>
          <w:b/>
          <w:iCs/>
          <w:color w:val="auto"/>
          <w:sz w:val="24"/>
          <w:szCs w:val="24"/>
        </w:rPr>
        <w:t>Supplemental Figure 2</w:t>
      </w:r>
      <w:r w:rsidRPr="006941F2">
        <w:rPr>
          <w:rFonts w:ascii="Times New Roman" w:hAnsi="Times New Roman" w:cs="Times New Roman"/>
          <w:b/>
          <w:color w:val="201F1E"/>
          <w:shd w:val="clear" w:color="auto" w:fill="FFFFFF"/>
        </w:rPr>
        <w:t xml:space="preserve"> </w:t>
      </w:r>
      <w:r w:rsidRPr="006941F2">
        <w:rPr>
          <w:rFonts w:ascii="Times New Roman" w:hAnsi="Times New Roman" w:cs="Times New Roman"/>
          <w:color w:val="201F1E"/>
          <w:shd w:val="clear" w:color="auto" w:fill="FFFFFF"/>
        </w:rPr>
        <w:t xml:space="preserve">Distribution of </w:t>
      </w:r>
      <w:r w:rsidRPr="006941F2">
        <w:rPr>
          <w:rFonts w:ascii="Times New Roman" w:hAnsi="Times New Roman" w:cs="Times New Roman"/>
        </w:rPr>
        <w:t xml:space="preserve">maximum peripheral neuropathy scores for model development. </w:t>
      </w:r>
    </w:p>
    <w:p w14:paraId="74C36D5E" w14:textId="77777777" w:rsidR="006B7866" w:rsidRPr="00014EF4" w:rsidRDefault="006B7866" w:rsidP="00386B99">
      <w:pPr>
        <w:ind w:left="288"/>
        <w:rPr>
          <w:rFonts w:ascii="Times New Roman" w:hAnsi="Times New Roman" w:cs="Times New Roman"/>
        </w:rPr>
      </w:pPr>
    </w:p>
    <w:p w14:paraId="78B1B004" w14:textId="6E79471C" w:rsidR="00A67BF3" w:rsidRPr="00014EF4" w:rsidRDefault="00A67BF3" w:rsidP="00386B99">
      <w:pPr>
        <w:rPr>
          <w:rFonts w:ascii="Times New Roman" w:hAnsi="Times New Roman" w:cs="Times New Roman"/>
          <w:i/>
          <w:iCs/>
        </w:rPr>
      </w:pPr>
    </w:p>
    <w:p w14:paraId="5F384223" w14:textId="77777777" w:rsidR="00DA3D40" w:rsidRPr="00014EF4" w:rsidRDefault="00A67BF3" w:rsidP="00DA3D40">
      <w:pPr>
        <w:keepNext/>
        <w:rPr>
          <w:rFonts w:ascii="Times New Roman" w:hAnsi="Times New Roman" w:cs="Times New Roman"/>
        </w:rPr>
      </w:pPr>
      <w:r w:rsidRPr="00014EF4">
        <w:rPr>
          <w:rFonts w:ascii="Times New Roman" w:hAnsi="Times New Roman" w:cs="Times New Roman"/>
          <w:i/>
          <w:iCs/>
        </w:rPr>
        <w:br w:type="page"/>
      </w:r>
      <w:r w:rsidR="00DA3D40">
        <w:rPr>
          <w:rFonts w:ascii="Times New Roman" w:hAnsi="Times New Roman" w:cs="Times New Roman"/>
          <w:noProof/>
        </w:rPr>
        <w:lastRenderedPageBreak/>
        <w:drawing>
          <wp:inline distT="0" distB="0" distL="0" distR="0" wp14:anchorId="6FCD1521" wp14:editId="29B0936B">
            <wp:extent cx="5943600" cy="6361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N_INDPLots_MaxPNscores_20200107data_SevereGrade12or24months_updated20201020data_AIformatted_updated20210709.pdf"/>
                    <pic:cNvPicPr/>
                  </pic:nvPicPr>
                  <pic:blipFill>
                    <a:blip r:embed="rId10" cstate="email">
                      <a:extLst>
                        <a:ext uri="{28A0092B-C50C-407E-A947-70E740481C1C}">
                          <a14:useLocalDpi xmlns:a14="http://schemas.microsoft.com/office/drawing/2010/main"/>
                        </a:ext>
                      </a:extLst>
                    </a:blip>
                    <a:stretch>
                      <a:fillRect/>
                    </a:stretch>
                  </pic:blipFill>
                  <pic:spPr>
                    <a:xfrm>
                      <a:off x="0" y="0"/>
                      <a:ext cx="5943600" cy="6361430"/>
                    </a:xfrm>
                    <a:prstGeom prst="rect">
                      <a:avLst/>
                    </a:prstGeom>
                  </pic:spPr>
                </pic:pic>
              </a:graphicData>
            </a:graphic>
          </wp:inline>
        </w:drawing>
      </w:r>
    </w:p>
    <w:p w14:paraId="0C4E151B" w14:textId="6D43BAB4" w:rsidR="00DA3D40" w:rsidRPr="00014EF4" w:rsidRDefault="00DA3D40" w:rsidP="00DA3D40">
      <w:pPr>
        <w:rPr>
          <w:rFonts w:ascii="Times New Roman" w:hAnsi="Times New Roman" w:cs="Times New Roman"/>
        </w:rPr>
      </w:pPr>
      <w:r w:rsidRPr="006941F2">
        <w:rPr>
          <w:rStyle w:val="Heading2Char"/>
          <w:rFonts w:ascii="Times New Roman" w:hAnsi="Times New Roman" w:cs="Times New Roman"/>
          <w:b/>
          <w:iCs/>
          <w:color w:val="auto"/>
          <w:sz w:val="24"/>
          <w:szCs w:val="24"/>
        </w:rPr>
        <w:t xml:space="preserve">Supplemental Figure </w:t>
      </w:r>
      <w:r w:rsidR="006B7866" w:rsidRPr="006941F2">
        <w:rPr>
          <w:rStyle w:val="Heading2Char"/>
          <w:rFonts w:ascii="Times New Roman" w:hAnsi="Times New Roman" w:cs="Times New Roman"/>
          <w:b/>
          <w:iCs/>
          <w:color w:val="auto"/>
          <w:sz w:val="24"/>
          <w:szCs w:val="24"/>
        </w:rPr>
        <w:t>3</w:t>
      </w:r>
      <w:r>
        <w:rPr>
          <w:rFonts w:ascii="Times New Roman" w:hAnsi="Times New Roman" w:cs="Times New Roman"/>
          <w:b/>
        </w:rPr>
        <w:t xml:space="preserve"> </w:t>
      </w:r>
      <w:r w:rsidRPr="00014EF4">
        <w:rPr>
          <w:rFonts w:ascii="Times New Roman" w:hAnsi="Times New Roman" w:cs="Times New Roman"/>
        </w:rPr>
        <w:t>(A) Distribution of participant-elicited peripheral neuropathy symptoms scores at 12 months post-treatment. Data available from 89/104 (86%) participants at time of analysis. (B) Distribution of participant-elicited peripheral neuropathy symptoms scores at 24 months post-treatment. Data available from 93/104 (89%) participants at time of analysis.(C) Profiles of the maximum peripheral neuropathy scores for three participants with severe peripheral neuropathy at 12 post-treatment. Colored bar at the bottom of each plot represent linezolid dosage pattern over 6 months.(D) Profiles of the maximum peripheral neuropathy scores for three participants with severe peripheral neuropathy at 24 post-treatment. Colored bar at the bottom of each plot represent linezolid dosage pattern over 6 months</w:t>
      </w:r>
      <w:r>
        <w:rPr>
          <w:rFonts w:ascii="Times New Roman" w:hAnsi="Times New Roman" w:cs="Times New Roman"/>
        </w:rPr>
        <w:t>.</w:t>
      </w:r>
      <w:r w:rsidRPr="00014EF4" w:rsidDel="00051D68">
        <w:rPr>
          <w:rFonts w:ascii="Times New Roman" w:hAnsi="Times New Roman" w:cs="Times New Roman"/>
        </w:rPr>
        <w:t xml:space="preserve"> </w:t>
      </w:r>
      <w:r w:rsidRPr="00014EF4">
        <w:rPr>
          <w:rFonts w:ascii="Times New Roman" w:hAnsi="Times New Roman" w:cs="Times New Roman"/>
        </w:rPr>
        <w:br w:type="page"/>
      </w:r>
    </w:p>
    <w:p w14:paraId="2A8C5EDD" w14:textId="77777777" w:rsidR="00DA3D40" w:rsidRPr="00014EF4" w:rsidRDefault="00DA3D40" w:rsidP="00DA3D40">
      <w:pPr>
        <w:rPr>
          <w:rFonts w:ascii="Times New Roman" w:hAnsi="Times New Roman" w:cs="Times New Roman"/>
        </w:rPr>
      </w:pPr>
      <w:r w:rsidRPr="00014EF4">
        <w:rPr>
          <w:rFonts w:ascii="Times New Roman" w:hAnsi="Times New Roman" w:cs="Times New Roman"/>
          <w:noProof/>
        </w:rPr>
        <w:lastRenderedPageBreak/>
        <w:drawing>
          <wp:inline distT="0" distB="0" distL="0" distR="0" wp14:anchorId="7614303B" wp14:editId="7F8B48C2">
            <wp:extent cx="5943600" cy="41605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email">
                      <a:extLst>
                        <a:ext uri="{28A0092B-C50C-407E-A947-70E740481C1C}">
                          <a14:useLocalDpi xmlns:a14="http://schemas.microsoft.com/office/drawing/2010/main"/>
                        </a:ext>
                      </a:extLst>
                    </a:blip>
                    <a:stretch>
                      <a:fillRect/>
                    </a:stretch>
                  </pic:blipFill>
                  <pic:spPr>
                    <a:xfrm>
                      <a:off x="0" y="0"/>
                      <a:ext cx="5943600" cy="4160520"/>
                    </a:xfrm>
                    <a:prstGeom prst="rect">
                      <a:avLst/>
                    </a:prstGeom>
                  </pic:spPr>
                </pic:pic>
              </a:graphicData>
            </a:graphic>
          </wp:inline>
        </w:drawing>
      </w:r>
    </w:p>
    <w:p w14:paraId="662004A6" w14:textId="4E2F4590" w:rsidR="00DA3D40" w:rsidRPr="00014EF4" w:rsidRDefault="00DA3D40" w:rsidP="00DA3D40">
      <w:pPr>
        <w:rPr>
          <w:rFonts w:ascii="Times New Roman" w:hAnsi="Times New Roman" w:cs="Times New Roman"/>
        </w:rPr>
      </w:pPr>
      <w:r w:rsidRPr="006941F2">
        <w:rPr>
          <w:rStyle w:val="Heading2Char"/>
          <w:rFonts w:ascii="Times New Roman" w:hAnsi="Times New Roman" w:cs="Times New Roman"/>
          <w:b/>
          <w:iCs/>
          <w:color w:val="auto"/>
          <w:sz w:val="24"/>
          <w:szCs w:val="24"/>
        </w:rPr>
        <w:t xml:space="preserve">Supplemental Figure </w:t>
      </w:r>
      <w:r w:rsidR="006B7866" w:rsidRPr="006941F2">
        <w:rPr>
          <w:rStyle w:val="Heading2Char"/>
          <w:rFonts w:ascii="Times New Roman" w:hAnsi="Times New Roman" w:cs="Times New Roman"/>
          <w:b/>
          <w:iCs/>
          <w:color w:val="auto"/>
          <w:sz w:val="24"/>
          <w:szCs w:val="24"/>
        </w:rPr>
        <w:t>4</w:t>
      </w:r>
      <w:r>
        <w:rPr>
          <w:rFonts w:ascii="Times New Roman" w:hAnsi="Times New Roman" w:cs="Times New Roman"/>
          <w:b/>
        </w:rPr>
        <w:t xml:space="preserve"> </w:t>
      </w:r>
      <w:r w:rsidRPr="00014EF4">
        <w:rPr>
          <w:rFonts w:ascii="Times New Roman" w:hAnsi="Times New Roman" w:cs="Times New Roman"/>
        </w:rPr>
        <w:t xml:space="preserve">Peripheral neuropathy scores for 3 participants with severe peripheral neuropathy at 12 months post-treatment. Left panel shows maximum peripheral neuropathy score based on individual symptoms scores shown in middle and right panels. Red shaded area represents severe scores (8-10), orange represent modest scores (4-7), blue represent minimal scores (1-3), and grey represent a normal score (0). Participant A through C in Fig C. </w:t>
      </w:r>
    </w:p>
    <w:p w14:paraId="755F2F44" w14:textId="77777777" w:rsidR="00DA3D40" w:rsidRPr="00014EF4" w:rsidRDefault="00DA3D40" w:rsidP="00DA3D40">
      <w:pPr>
        <w:rPr>
          <w:rFonts w:ascii="Times New Roman" w:hAnsi="Times New Roman" w:cs="Times New Roman"/>
        </w:rPr>
      </w:pPr>
    </w:p>
    <w:p w14:paraId="5FA5312C" w14:textId="77777777" w:rsidR="00DA3D40" w:rsidRPr="00014EF4" w:rsidRDefault="00DA3D40" w:rsidP="00DA3D40">
      <w:pPr>
        <w:rPr>
          <w:rFonts w:ascii="Times New Roman" w:hAnsi="Times New Roman" w:cs="Times New Roman"/>
        </w:rPr>
      </w:pPr>
    </w:p>
    <w:p w14:paraId="5F5C4D5C" w14:textId="77777777" w:rsidR="00DA3D40" w:rsidRPr="00014EF4" w:rsidRDefault="00DA3D40" w:rsidP="00DA3D40">
      <w:pPr>
        <w:rPr>
          <w:rFonts w:ascii="Times New Roman" w:hAnsi="Times New Roman" w:cs="Times New Roman"/>
        </w:rPr>
      </w:pPr>
      <w:r w:rsidRPr="00014EF4">
        <w:rPr>
          <w:rFonts w:ascii="Times New Roman" w:hAnsi="Times New Roman" w:cs="Times New Roman"/>
        </w:rPr>
        <w:br w:type="page"/>
      </w:r>
    </w:p>
    <w:p w14:paraId="73109D3B" w14:textId="77777777" w:rsidR="00DA3D40" w:rsidRPr="00014EF4" w:rsidRDefault="00DA3D40" w:rsidP="00DA3D40">
      <w:pPr>
        <w:keepNext/>
        <w:rPr>
          <w:rFonts w:ascii="Times New Roman" w:hAnsi="Times New Roman" w:cs="Times New Roman"/>
        </w:rPr>
      </w:pPr>
      <w:r w:rsidRPr="00014EF4">
        <w:rPr>
          <w:rFonts w:ascii="Times New Roman" w:hAnsi="Times New Roman" w:cs="Times New Roman"/>
          <w:noProof/>
        </w:rPr>
        <w:lastRenderedPageBreak/>
        <w:drawing>
          <wp:inline distT="0" distB="0" distL="0" distR="0" wp14:anchorId="1D732819" wp14:editId="65D61707">
            <wp:extent cx="5943600" cy="4754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email">
                      <a:extLst>
                        <a:ext uri="{28A0092B-C50C-407E-A947-70E740481C1C}">
                          <a14:useLocalDpi xmlns:a14="http://schemas.microsoft.com/office/drawing/2010/main"/>
                        </a:ext>
                      </a:extLst>
                    </a:blip>
                    <a:stretch>
                      <a:fillRect/>
                    </a:stretch>
                  </pic:blipFill>
                  <pic:spPr>
                    <a:xfrm>
                      <a:off x="0" y="0"/>
                      <a:ext cx="5943600" cy="4754880"/>
                    </a:xfrm>
                    <a:prstGeom prst="rect">
                      <a:avLst/>
                    </a:prstGeom>
                  </pic:spPr>
                </pic:pic>
              </a:graphicData>
            </a:graphic>
          </wp:inline>
        </w:drawing>
      </w:r>
      <w:r w:rsidRPr="00014EF4" w:rsidDel="00EF4319">
        <w:rPr>
          <w:rFonts w:ascii="Times New Roman" w:hAnsi="Times New Roman" w:cs="Times New Roman"/>
        </w:rPr>
        <w:t xml:space="preserve"> </w:t>
      </w:r>
    </w:p>
    <w:p w14:paraId="5F6CE654" w14:textId="38C282E6" w:rsidR="00DA3D40" w:rsidRPr="00014EF4" w:rsidRDefault="00DA3D40" w:rsidP="00DA3D40">
      <w:pPr>
        <w:rPr>
          <w:rFonts w:ascii="Times New Roman" w:hAnsi="Times New Roman" w:cs="Times New Roman"/>
        </w:rPr>
      </w:pPr>
      <w:r w:rsidRPr="006941F2">
        <w:rPr>
          <w:rStyle w:val="Heading2Char"/>
          <w:rFonts w:ascii="Times New Roman" w:hAnsi="Times New Roman" w:cs="Times New Roman"/>
          <w:b/>
          <w:iCs/>
          <w:color w:val="auto"/>
          <w:sz w:val="24"/>
          <w:szCs w:val="24"/>
        </w:rPr>
        <w:t xml:space="preserve">Supplemental Figure </w:t>
      </w:r>
      <w:r w:rsidR="006B7866" w:rsidRPr="006941F2">
        <w:rPr>
          <w:rStyle w:val="Heading2Char"/>
          <w:rFonts w:ascii="Times New Roman" w:hAnsi="Times New Roman" w:cs="Times New Roman"/>
          <w:b/>
          <w:iCs/>
          <w:color w:val="auto"/>
          <w:sz w:val="24"/>
          <w:szCs w:val="24"/>
        </w:rPr>
        <w:t>5</w:t>
      </w:r>
      <w:r>
        <w:rPr>
          <w:rFonts w:ascii="Times New Roman" w:hAnsi="Times New Roman" w:cs="Times New Roman"/>
          <w:b/>
        </w:rPr>
        <w:t xml:space="preserve"> </w:t>
      </w:r>
      <w:r w:rsidRPr="00014EF4">
        <w:rPr>
          <w:rFonts w:ascii="Times New Roman" w:hAnsi="Times New Roman" w:cs="Times New Roman"/>
        </w:rPr>
        <w:t xml:space="preserve">Peripheral neuropathy scores for four participants with severe peripheral neuropathy at 24 months post-treatment. Left panel shows maximum peripheral neuropathy score based on individual symptoms scores shown in middle and right panels. Red shaded area represents severe scores (8-10), orange represent modest scores (4-7), blue represent minimal scores (1-3), and grey represent a normal score (0). Participant D through G in Fig C. </w:t>
      </w:r>
    </w:p>
    <w:p w14:paraId="53BA88D5" w14:textId="6FC8390D" w:rsidR="0020048C" w:rsidRDefault="0020048C">
      <w:pPr>
        <w:rPr>
          <w:rFonts w:ascii="Times New Roman" w:hAnsi="Times New Roman" w:cs="Times New Roman"/>
          <w:b/>
        </w:rPr>
      </w:pPr>
      <w:r>
        <w:rPr>
          <w:rFonts w:ascii="Times New Roman" w:hAnsi="Times New Roman" w:cs="Times New Roman"/>
          <w:b/>
        </w:rPr>
        <w:br w:type="page"/>
      </w:r>
    </w:p>
    <w:p w14:paraId="35DE412E" w14:textId="77777777" w:rsidR="0020048C" w:rsidRDefault="0020048C" w:rsidP="0020048C">
      <w:pPr>
        <w:rPr>
          <w:color w:val="201F1E"/>
          <w:shd w:val="clear" w:color="auto" w:fill="FFFFFF"/>
        </w:rPr>
      </w:pPr>
      <w:r>
        <w:rPr>
          <w:noProof/>
          <w:color w:val="201F1E"/>
          <w:shd w:val="clear" w:color="auto" w:fill="FFFFFF"/>
        </w:rPr>
        <w:lastRenderedPageBreak/>
        <w:drawing>
          <wp:inline distT="0" distB="0" distL="0" distR="0" wp14:anchorId="3F36CAF3" wp14:editId="3414933C">
            <wp:extent cx="5943600" cy="57099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K_stratified_troughs_formatted.pdf"/>
                    <pic:cNvPicPr/>
                  </pic:nvPicPr>
                  <pic:blipFill>
                    <a:blip r:embed="rId13" cstate="email">
                      <a:extLst>
                        <a:ext uri="{28A0092B-C50C-407E-A947-70E740481C1C}">
                          <a14:useLocalDpi xmlns:a14="http://schemas.microsoft.com/office/drawing/2010/main"/>
                        </a:ext>
                      </a:extLst>
                    </a:blip>
                    <a:stretch>
                      <a:fillRect/>
                    </a:stretch>
                  </pic:blipFill>
                  <pic:spPr>
                    <a:xfrm>
                      <a:off x="0" y="0"/>
                      <a:ext cx="5943600" cy="5709920"/>
                    </a:xfrm>
                    <a:prstGeom prst="rect">
                      <a:avLst/>
                    </a:prstGeom>
                  </pic:spPr>
                </pic:pic>
              </a:graphicData>
            </a:graphic>
          </wp:inline>
        </w:drawing>
      </w:r>
    </w:p>
    <w:p w14:paraId="2A77564E" w14:textId="0F503460" w:rsidR="0020048C" w:rsidRPr="006941F2" w:rsidRDefault="0020048C" w:rsidP="0020048C">
      <w:pPr>
        <w:rPr>
          <w:rFonts w:ascii="Times New Roman" w:hAnsi="Times New Roman" w:cs="Times New Roman"/>
          <w:color w:val="201F1E"/>
          <w:shd w:val="clear" w:color="auto" w:fill="FFFFFF"/>
        </w:rPr>
      </w:pPr>
      <w:r w:rsidRPr="006941F2">
        <w:rPr>
          <w:rStyle w:val="Heading2Char"/>
          <w:rFonts w:ascii="Times New Roman" w:hAnsi="Times New Roman" w:cs="Times New Roman"/>
          <w:b/>
          <w:iCs/>
          <w:color w:val="auto"/>
          <w:sz w:val="24"/>
          <w:szCs w:val="24"/>
        </w:rPr>
        <w:t>Supplemental Figure 6</w:t>
      </w:r>
      <w:r w:rsidRPr="006941F2">
        <w:rPr>
          <w:rFonts w:ascii="Times New Roman" w:hAnsi="Times New Roman" w:cs="Times New Roman"/>
          <w:b/>
          <w:color w:val="201F1E"/>
          <w:shd w:val="clear" w:color="auto" w:fill="FFFFFF"/>
        </w:rPr>
        <w:t xml:space="preserve"> </w:t>
      </w:r>
      <w:r w:rsidRPr="006941F2">
        <w:rPr>
          <w:rFonts w:ascii="Times New Roman" w:hAnsi="Times New Roman" w:cs="Times New Roman"/>
          <w:color w:val="201F1E"/>
          <w:shd w:val="clear" w:color="auto" w:fill="FFFFFF"/>
        </w:rPr>
        <w:t xml:space="preserve">Stratified </w:t>
      </w:r>
      <w:r>
        <w:rPr>
          <w:rFonts w:ascii="Times New Roman" w:hAnsi="Times New Roman" w:cs="Times New Roman"/>
        </w:rPr>
        <w:t>visual predictive checks</w:t>
      </w:r>
      <w:r w:rsidRPr="006941F2">
        <w:rPr>
          <w:rFonts w:ascii="Times New Roman" w:hAnsi="Times New Roman" w:cs="Times New Roman"/>
        </w:rPr>
        <w:t xml:space="preserve"> for model development data. (A) HIV status, (B) Sex, (C) Median age (years), (D) Median weight (kg), (E) Median BMI (kg/m</w:t>
      </w:r>
      <w:r w:rsidRPr="006941F2">
        <w:rPr>
          <w:rFonts w:ascii="Times New Roman" w:hAnsi="Times New Roman" w:cs="Times New Roman"/>
          <w:vertAlign w:val="superscript"/>
        </w:rPr>
        <w:t>2</w:t>
      </w:r>
      <w:r w:rsidRPr="006941F2">
        <w:rPr>
          <w:rFonts w:ascii="Times New Roman" w:hAnsi="Times New Roman" w:cs="Times New Roman"/>
        </w:rPr>
        <w:t>).  Median (solid line) and 5th and 95th percentiles (dashed lines) of observed data, and 95% confidence intervals of the median and 5th and 95th percentiles of model predicted simulations (shaded areas). VPCs are prediction</w:t>
      </w:r>
      <w:r w:rsidR="00811399">
        <w:rPr>
          <w:rFonts w:ascii="Times New Roman" w:hAnsi="Times New Roman" w:cs="Times New Roman"/>
        </w:rPr>
        <w:t xml:space="preserve"> </w:t>
      </w:r>
      <w:r w:rsidRPr="006941F2">
        <w:rPr>
          <w:rFonts w:ascii="Times New Roman" w:hAnsi="Times New Roman" w:cs="Times New Roman"/>
        </w:rPr>
        <w:t xml:space="preserve">corrected. Full profile </w:t>
      </w:r>
      <w:r>
        <w:rPr>
          <w:rFonts w:ascii="Times New Roman" w:hAnsi="Times New Roman" w:cs="Times New Roman"/>
        </w:rPr>
        <w:t>visual predictive checks</w:t>
      </w:r>
      <w:r w:rsidRPr="00FD1C4F">
        <w:rPr>
          <w:rFonts w:ascii="Times New Roman" w:hAnsi="Times New Roman" w:cs="Times New Roman"/>
        </w:rPr>
        <w:t xml:space="preserve"> </w:t>
      </w:r>
      <w:r w:rsidRPr="006941F2">
        <w:rPr>
          <w:rFonts w:ascii="Times New Roman" w:hAnsi="Times New Roman" w:cs="Times New Roman"/>
        </w:rPr>
        <w:t xml:space="preserve">at week 16 are </w:t>
      </w:r>
      <w:r w:rsidR="00556813">
        <w:rPr>
          <w:rFonts w:ascii="Times New Roman" w:hAnsi="Times New Roman" w:cs="Times New Roman"/>
        </w:rPr>
        <w:t>not used</w:t>
      </w:r>
      <w:r w:rsidRPr="006941F2">
        <w:rPr>
          <w:rFonts w:ascii="Times New Roman" w:hAnsi="Times New Roman" w:cs="Times New Roman"/>
        </w:rPr>
        <w:t>, and only trough levels (time point at 24 hours after dose) are shown, due to small samples sizes after stratificatio</w:t>
      </w:r>
      <w:r>
        <w:rPr>
          <w:rFonts w:ascii="Times New Roman" w:hAnsi="Times New Roman" w:cs="Times New Roman"/>
        </w:rPr>
        <w:t>n of participants with intensive PK samples</w:t>
      </w:r>
      <w:r w:rsidRPr="006941F2">
        <w:rPr>
          <w:rFonts w:ascii="Times New Roman" w:hAnsi="Times New Roman" w:cs="Times New Roman"/>
        </w:rPr>
        <w:t xml:space="preserve">. </w:t>
      </w:r>
    </w:p>
    <w:p w14:paraId="6F419F3B" w14:textId="3E5446E4" w:rsidR="00AF244F" w:rsidRDefault="0020048C">
      <w:pPr>
        <w:rPr>
          <w:rFonts w:ascii="Times New Roman" w:hAnsi="Times New Roman" w:cs="Times New Roman"/>
          <w:b/>
        </w:rPr>
      </w:pPr>
      <w:r>
        <w:rPr>
          <w:rFonts w:ascii="Times New Roman" w:hAnsi="Times New Roman" w:cs="Times New Roman"/>
          <w:b/>
        </w:rPr>
        <w:br w:type="page"/>
      </w:r>
    </w:p>
    <w:p w14:paraId="45CCAF82" w14:textId="77777777" w:rsidR="00AF244F" w:rsidRDefault="00AF244F" w:rsidP="00AF244F">
      <w:pPr>
        <w:rPr>
          <w:color w:val="201F1E"/>
          <w:shd w:val="clear" w:color="auto" w:fill="FFFFFF"/>
        </w:rPr>
      </w:pPr>
      <w:r>
        <w:rPr>
          <w:noProof/>
          <w:color w:val="201F1E"/>
          <w:shd w:val="clear" w:color="auto" w:fill="FFFFFF"/>
        </w:rPr>
        <w:lastRenderedPageBreak/>
        <w:drawing>
          <wp:inline distT="0" distB="0" distL="0" distR="0" wp14:anchorId="410966AE" wp14:editId="64BFDEE7">
            <wp:extent cx="3896139" cy="3896139"/>
            <wp:effectExtent l="0" t="0" r="317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Fplots.pdf"/>
                    <pic:cNvPicPr/>
                  </pic:nvPicPr>
                  <pic:blipFill>
                    <a:blip r:embed="rId14" cstate="email">
                      <a:extLst>
                        <a:ext uri="{28A0092B-C50C-407E-A947-70E740481C1C}">
                          <a14:useLocalDpi xmlns:a14="http://schemas.microsoft.com/office/drawing/2010/main"/>
                        </a:ext>
                      </a:extLst>
                    </a:blip>
                    <a:stretch>
                      <a:fillRect/>
                    </a:stretch>
                  </pic:blipFill>
                  <pic:spPr>
                    <a:xfrm>
                      <a:off x="0" y="0"/>
                      <a:ext cx="3900292" cy="3900292"/>
                    </a:xfrm>
                    <a:prstGeom prst="rect">
                      <a:avLst/>
                    </a:prstGeom>
                  </pic:spPr>
                </pic:pic>
              </a:graphicData>
            </a:graphic>
          </wp:inline>
        </w:drawing>
      </w:r>
    </w:p>
    <w:p w14:paraId="5875FA1F" w14:textId="1DA29C39" w:rsidR="00AF244F" w:rsidRPr="006941F2" w:rsidRDefault="00AF244F" w:rsidP="00AF244F">
      <w:pPr>
        <w:rPr>
          <w:rFonts w:ascii="Times New Roman" w:hAnsi="Times New Roman" w:cs="Times New Roman"/>
          <w:color w:val="201F1E"/>
          <w:shd w:val="clear" w:color="auto" w:fill="FFFFFF"/>
        </w:rPr>
      </w:pPr>
      <w:r w:rsidRPr="006941F2">
        <w:rPr>
          <w:rStyle w:val="Heading2Char"/>
          <w:rFonts w:ascii="Times New Roman" w:hAnsi="Times New Roman" w:cs="Times New Roman"/>
          <w:b/>
          <w:iCs/>
          <w:color w:val="auto"/>
          <w:sz w:val="24"/>
          <w:szCs w:val="24"/>
        </w:rPr>
        <w:t>Supplemental Figure 7</w:t>
      </w:r>
      <w:r w:rsidRPr="006941F2">
        <w:rPr>
          <w:rFonts w:ascii="Times New Roman" w:hAnsi="Times New Roman" w:cs="Times New Roman"/>
          <w:b/>
          <w:color w:val="201F1E"/>
          <w:shd w:val="clear" w:color="auto" w:fill="FFFFFF"/>
        </w:rPr>
        <w:t xml:space="preserve"> </w:t>
      </w:r>
      <w:r w:rsidRPr="006941F2">
        <w:rPr>
          <w:rFonts w:ascii="Times New Roman" w:hAnsi="Times New Roman" w:cs="Times New Roman"/>
          <w:color w:val="201F1E"/>
          <w:shd w:val="clear" w:color="auto" w:fill="FFFFFF"/>
        </w:rPr>
        <w:t xml:space="preserve">Goodness of fit plots for population </w:t>
      </w:r>
      <w:r w:rsidR="00672CA0">
        <w:rPr>
          <w:rFonts w:ascii="Times New Roman" w:hAnsi="Times New Roman" w:cs="Times New Roman"/>
        </w:rPr>
        <w:t>PK</w:t>
      </w:r>
      <w:r w:rsidRPr="006941F2">
        <w:rPr>
          <w:rFonts w:ascii="Times New Roman" w:hAnsi="Times New Roman" w:cs="Times New Roman"/>
          <w:color w:val="201F1E"/>
          <w:shd w:val="clear" w:color="auto" w:fill="FFFFFF"/>
        </w:rPr>
        <w:t xml:space="preserve"> model. CWRES, conditional weighted residuals. </w:t>
      </w:r>
    </w:p>
    <w:p w14:paraId="277953C1" w14:textId="0638C304" w:rsidR="00AF244F" w:rsidRDefault="00AF244F">
      <w:pPr>
        <w:rPr>
          <w:rFonts w:ascii="Times New Roman" w:hAnsi="Times New Roman" w:cs="Times New Roman"/>
          <w:b/>
        </w:rPr>
      </w:pPr>
      <w:r>
        <w:rPr>
          <w:rFonts w:ascii="Times New Roman" w:hAnsi="Times New Roman" w:cs="Times New Roman"/>
          <w:b/>
        </w:rPr>
        <w:br w:type="page"/>
      </w:r>
    </w:p>
    <w:p w14:paraId="4A9E1CE3" w14:textId="77777777" w:rsidR="00AF244F" w:rsidRDefault="00AF244F">
      <w:pPr>
        <w:rPr>
          <w:rFonts w:ascii="Times New Roman" w:hAnsi="Times New Roman" w:cs="Times New Roman"/>
          <w:b/>
        </w:rPr>
      </w:pPr>
    </w:p>
    <w:p w14:paraId="4B08F81B" w14:textId="77777777" w:rsidR="00AF244F" w:rsidRDefault="00AF244F" w:rsidP="00AF244F">
      <w:pPr>
        <w:rPr>
          <w:color w:val="201F1E"/>
          <w:shd w:val="clear" w:color="auto" w:fill="FFFFFF"/>
        </w:rPr>
      </w:pPr>
      <w:r>
        <w:rPr>
          <w:noProof/>
          <w:color w:val="201F1E"/>
          <w:shd w:val="clear" w:color="auto" w:fill="FFFFFF"/>
        </w:rPr>
        <w:drawing>
          <wp:inline distT="0" distB="0" distL="0" distR="0" wp14:anchorId="0504A87D" wp14:editId="1EC06894">
            <wp:extent cx="5114925" cy="409194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Dplots.pdf"/>
                    <pic:cNvPicPr/>
                  </pic:nvPicPr>
                  <pic:blipFill>
                    <a:blip r:embed="rId15" cstate="email">
                      <a:extLst>
                        <a:ext uri="{28A0092B-C50C-407E-A947-70E740481C1C}">
                          <a14:useLocalDpi xmlns:a14="http://schemas.microsoft.com/office/drawing/2010/main"/>
                        </a:ext>
                      </a:extLst>
                    </a:blip>
                    <a:stretch>
                      <a:fillRect/>
                    </a:stretch>
                  </pic:blipFill>
                  <pic:spPr>
                    <a:xfrm>
                      <a:off x="0" y="0"/>
                      <a:ext cx="5114925" cy="4091940"/>
                    </a:xfrm>
                    <a:prstGeom prst="rect">
                      <a:avLst/>
                    </a:prstGeom>
                  </pic:spPr>
                </pic:pic>
              </a:graphicData>
            </a:graphic>
          </wp:inline>
        </w:drawing>
      </w:r>
    </w:p>
    <w:p w14:paraId="3223085D" w14:textId="609EF799" w:rsidR="00AF244F" w:rsidRPr="006941F2" w:rsidRDefault="00AF244F" w:rsidP="00AF244F">
      <w:pPr>
        <w:rPr>
          <w:rFonts w:ascii="Times New Roman" w:hAnsi="Times New Roman" w:cs="Times New Roman"/>
          <w:color w:val="201F1E"/>
          <w:shd w:val="clear" w:color="auto" w:fill="FFFFFF"/>
        </w:rPr>
      </w:pPr>
      <w:r w:rsidRPr="006941F2">
        <w:rPr>
          <w:rStyle w:val="Heading2Char"/>
          <w:rFonts w:ascii="Times New Roman" w:hAnsi="Times New Roman" w:cs="Times New Roman"/>
          <w:b/>
          <w:iCs/>
          <w:color w:val="auto"/>
          <w:sz w:val="24"/>
          <w:szCs w:val="24"/>
        </w:rPr>
        <w:t>Supplemental Figure 8</w:t>
      </w:r>
      <w:r w:rsidRPr="006941F2">
        <w:rPr>
          <w:rFonts w:ascii="Times New Roman" w:hAnsi="Times New Roman" w:cs="Times New Roman"/>
          <w:b/>
          <w:color w:val="201F1E"/>
          <w:shd w:val="clear" w:color="auto" w:fill="FFFFFF"/>
        </w:rPr>
        <w:t xml:space="preserve"> </w:t>
      </w:r>
      <w:r w:rsidRPr="006941F2">
        <w:rPr>
          <w:rFonts w:ascii="Times New Roman" w:hAnsi="Times New Roman" w:cs="Times New Roman"/>
          <w:color w:val="201F1E"/>
          <w:shd w:val="clear" w:color="auto" w:fill="FFFFFF"/>
        </w:rPr>
        <w:t xml:space="preserve">Individual </w:t>
      </w:r>
      <w:r w:rsidR="00556813">
        <w:rPr>
          <w:rFonts w:ascii="Times New Roman" w:hAnsi="Times New Roman" w:cs="Times New Roman"/>
        </w:rPr>
        <w:t>PK</w:t>
      </w:r>
      <w:r w:rsidRPr="006941F2">
        <w:rPr>
          <w:rFonts w:ascii="Times New Roman" w:hAnsi="Times New Roman" w:cs="Times New Roman"/>
          <w:color w:val="201F1E"/>
          <w:shd w:val="clear" w:color="auto" w:fill="FFFFFF"/>
        </w:rPr>
        <w:t xml:space="preserve"> predictions for participants in the model development dataset with intensive </w:t>
      </w:r>
      <w:r w:rsidR="00556813">
        <w:rPr>
          <w:rFonts w:ascii="Times New Roman" w:hAnsi="Times New Roman" w:cs="Times New Roman"/>
          <w:color w:val="201F1E"/>
          <w:shd w:val="clear" w:color="auto" w:fill="FFFFFF"/>
        </w:rPr>
        <w:t>PK</w:t>
      </w:r>
      <w:r w:rsidRPr="006941F2">
        <w:rPr>
          <w:rFonts w:ascii="Times New Roman" w:hAnsi="Times New Roman" w:cs="Times New Roman"/>
          <w:color w:val="201F1E"/>
          <w:shd w:val="clear" w:color="auto" w:fill="FFFFFF"/>
        </w:rPr>
        <w:t xml:space="preserve"> samples collected at week 16. Each panel shows data for one participant. Three participants with intensive </w:t>
      </w:r>
      <w:r w:rsidR="00556813">
        <w:rPr>
          <w:rFonts w:ascii="Times New Roman" w:hAnsi="Times New Roman" w:cs="Times New Roman"/>
          <w:color w:val="201F1E"/>
          <w:shd w:val="clear" w:color="auto" w:fill="FFFFFF"/>
        </w:rPr>
        <w:t>PK</w:t>
      </w:r>
      <w:r w:rsidRPr="006941F2">
        <w:rPr>
          <w:rFonts w:ascii="Times New Roman" w:hAnsi="Times New Roman" w:cs="Times New Roman"/>
          <w:color w:val="201F1E"/>
          <w:shd w:val="clear" w:color="auto" w:fill="FFFFFF"/>
        </w:rPr>
        <w:t xml:space="preserve"> samples collected </w:t>
      </w:r>
      <w:r w:rsidR="009F6BFB">
        <w:rPr>
          <w:rFonts w:ascii="Times New Roman" w:hAnsi="Times New Roman" w:cs="Times New Roman"/>
          <w:color w:val="201F1E"/>
          <w:shd w:val="clear" w:color="auto" w:fill="FFFFFF"/>
        </w:rPr>
        <w:t>were not included in this figure because linezolid was interrupted</w:t>
      </w:r>
      <w:r w:rsidRPr="006941F2">
        <w:rPr>
          <w:rFonts w:ascii="Times New Roman" w:hAnsi="Times New Roman" w:cs="Times New Roman"/>
          <w:color w:val="201F1E"/>
          <w:shd w:val="clear" w:color="auto" w:fill="FFFFFF"/>
        </w:rPr>
        <w:t xml:space="preserve"> at the time of sampling (all concentrations below limit of quantification). Black points show observed data, red solid lines show population predictions, PRED and red dashed lines show individual predictions, IPRED. </w:t>
      </w:r>
    </w:p>
    <w:p w14:paraId="0A6AAB24" w14:textId="3B0CA5EB" w:rsidR="00AF244F" w:rsidRDefault="00AF244F">
      <w:pPr>
        <w:rPr>
          <w:rFonts w:ascii="Times New Roman" w:hAnsi="Times New Roman" w:cs="Times New Roman"/>
          <w:b/>
        </w:rPr>
      </w:pPr>
      <w:r>
        <w:rPr>
          <w:rFonts w:ascii="Times New Roman" w:hAnsi="Times New Roman" w:cs="Times New Roman"/>
          <w:b/>
        </w:rPr>
        <w:br w:type="page"/>
      </w:r>
    </w:p>
    <w:p w14:paraId="36202520" w14:textId="4759E17D" w:rsidR="00A67BF3" w:rsidRPr="00014EF4" w:rsidRDefault="00195C7B" w:rsidP="006941F2">
      <w:r>
        <w:rPr>
          <w:noProof/>
        </w:rPr>
        <w:lastRenderedPageBreak/>
        <w:drawing>
          <wp:inline distT="0" distB="0" distL="0" distR="0" wp14:anchorId="5F0F51C9" wp14:editId="0D40FD0A">
            <wp:extent cx="5943600" cy="5979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N_Simulations_Allscoresv2formatted.pdf"/>
                    <pic:cNvPicPr/>
                  </pic:nvPicPr>
                  <pic:blipFill>
                    <a:blip r:embed="rId16">
                      <a:extLst>
                        <a:ext uri="{28A0092B-C50C-407E-A947-70E740481C1C}">
                          <a14:useLocalDpi xmlns:a14="http://schemas.microsoft.com/office/drawing/2010/main" val="0"/>
                        </a:ext>
                      </a:extLst>
                    </a:blip>
                    <a:stretch>
                      <a:fillRect/>
                    </a:stretch>
                  </pic:blipFill>
                  <pic:spPr>
                    <a:xfrm>
                      <a:off x="0" y="0"/>
                      <a:ext cx="5943600" cy="5979160"/>
                    </a:xfrm>
                    <a:prstGeom prst="rect">
                      <a:avLst/>
                    </a:prstGeom>
                  </pic:spPr>
                </pic:pic>
              </a:graphicData>
            </a:graphic>
          </wp:inline>
        </w:drawing>
      </w:r>
    </w:p>
    <w:p w14:paraId="0A3D1CFD" w14:textId="7CA10193" w:rsidR="00A67BF3" w:rsidRPr="006941F2" w:rsidRDefault="00990105" w:rsidP="006941F2">
      <w:pPr>
        <w:pStyle w:val="Heading2"/>
        <w:rPr>
          <w:rFonts w:ascii="Times New Roman" w:hAnsi="Times New Roman" w:cs="Times New Roman"/>
          <w:iCs/>
          <w:color w:val="auto"/>
          <w:sz w:val="24"/>
          <w:szCs w:val="24"/>
        </w:rPr>
      </w:pPr>
      <w:r w:rsidRPr="006941F2">
        <w:rPr>
          <w:rStyle w:val="Heading2Char"/>
          <w:rFonts w:ascii="Times New Roman" w:hAnsi="Times New Roman" w:cs="Times New Roman"/>
          <w:b/>
          <w:iCs/>
          <w:color w:val="auto"/>
          <w:sz w:val="24"/>
          <w:szCs w:val="24"/>
        </w:rPr>
        <w:t xml:space="preserve">Supplemental Figure </w:t>
      </w:r>
      <w:r w:rsidR="008E2292" w:rsidRPr="006941F2">
        <w:rPr>
          <w:rStyle w:val="Heading2Char"/>
          <w:rFonts w:ascii="Times New Roman" w:hAnsi="Times New Roman" w:cs="Times New Roman"/>
          <w:b/>
          <w:iCs/>
          <w:color w:val="auto"/>
          <w:sz w:val="24"/>
          <w:szCs w:val="24"/>
        </w:rPr>
        <w:t>9</w:t>
      </w:r>
      <w:r w:rsidRPr="006941F2">
        <w:rPr>
          <w:rStyle w:val="Heading2Char"/>
          <w:rFonts w:ascii="Times New Roman" w:hAnsi="Times New Roman" w:cs="Times New Roman"/>
          <w:iCs/>
          <w:color w:val="auto"/>
          <w:sz w:val="24"/>
          <w:szCs w:val="24"/>
        </w:rPr>
        <w:t xml:space="preserve"> </w:t>
      </w:r>
      <w:r w:rsidR="00A67BF3" w:rsidRPr="006941F2">
        <w:rPr>
          <w:rFonts w:ascii="Times New Roman" w:hAnsi="Times New Roman" w:cs="Times New Roman"/>
          <w:color w:val="auto"/>
          <w:sz w:val="24"/>
          <w:szCs w:val="24"/>
        </w:rPr>
        <w:t xml:space="preserve">Simulated </w:t>
      </w:r>
      <w:r w:rsidR="008160A7" w:rsidRPr="006941F2">
        <w:rPr>
          <w:rFonts w:ascii="Times New Roman" w:hAnsi="Times New Roman" w:cs="Times New Roman"/>
          <w:color w:val="auto"/>
          <w:sz w:val="24"/>
          <w:szCs w:val="24"/>
        </w:rPr>
        <w:t>percentages</w:t>
      </w:r>
      <w:r w:rsidR="00A67BF3" w:rsidRPr="006941F2">
        <w:rPr>
          <w:rFonts w:ascii="Times New Roman" w:hAnsi="Times New Roman" w:cs="Times New Roman"/>
          <w:color w:val="auto"/>
          <w:sz w:val="24"/>
          <w:szCs w:val="24"/>
        </w:rPr>
        <w:t xml:space="preserve"> of peripheral neuropathy scores </w:t>
      </w:r>
      <w:r w:rsidR="008160A7" w:rsidRPr="006941F2">
        <w:rPr>
          <w:rFonts w:ascii="Times New Roman" w:hAnsi="Times New Roman" w:cs="Times New Roman"/>
          <w:color w:val="auto"/>
          <w:sz w:val="24"/>
          <w:szCs w:val="24"/>
        </w:rPr>
        <w:t>after total linezolid daily doses of 600 mg or 1200 mg.</w:t>
      </w:r>
      <w:r w:rsidR="008160A7" w:rsidRPr="006941F2">
        <w:rPr>
          <w:rFonts w:ascii="Times New Roman" w:hAnsi="Times New Roman" w:cs="Times New Roman"/>
          <w:color w:val="auto"/>
        </w:rPr>
        <w:t xml:space="preserve"> </w:t>
      </w:r>
    </w:p>
    <w:p w14:paraId="6D5F0934" w14:textId="20A1D5E3" w:rsidR="00890A87" w:rsidRPr="00014EF4" w:rsidRDefault="00A67BF3" w:rsidP="003320E0">
      <w:pPr>
        <w:rPr>
          <w:rFonts w:ascii="Times New Roman" w:hAnsi="Times New Roman" w:cs="Times New Roman"/>
        </w:rPr>
      </w:pPr>
      <w:r w:rsidRPr="00014EF4">
        <w:rPr>
          <w:rFonts w:ascii="Times New Roman" w:hAnsi="Times New Roman" w:cs="Times New Roman"/>
          <w:b/>
        </w:rPr>
        <w:t xml:space="preserve"> </w:t>
      </w:r>
      <w:r w:rsidR="00086B8E" w:rsidRPr="00014EF4">
        <w:rPr>
          <w:noProof/>
        </w:rPr>
        <w:t xml:space="preserve"> </w:t>
      </w:r>
    </w:p>
    <w:sectPr w:rsidR="00890A87" w:rsidRPr="00014EF4" w:rsidSect="00E45606">
      <w:footerReference w:type="even" r:id="rId17"/>
      <w:footerReference w:type="default" r:id="rId18"/>
      <w:pgSz w:w="12240" w:h="15840"/>
      <w:pgMar w:top="1440" w:right="1440" w:bottom="1440" w:left="1440" w:header="720" w:footer="720" w:gutter="0"/>
      <w:lnNumType w:countBy="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AC0FD" w14:textId="77777777" w:rsidR="00E90ACF" w:rsidRDefault="00E90ACF">
      <w:r>
        <w:separator/>
      </w:r>
    </w:p>
  </w:endnote>
  <w:endnote w:type="continuationSeparator" w:id="0">
    <w:p w14:paraId="0ECA9946" w14:textId="77777777" w:rsidR="00E90ACF" w:rsidRDefault="00E90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51243223"/>
      <w:docPartObj>
        <w:docPartGallery w:val="Page Numbers (Bottom of Page)"/>
        <w:docPartUnique/>
      </w:docPartObj>
    </w:sdtPr>
    <w:sdtEndPr>
      <w:rPr>
        <w:rStyle w:val="PageNumber"/>
      </w:rPr>
    </w:sdtEndPr>
    <w:sdtContent>
      <w:p w14:paraId="472A04FC" w14:textId="77777777" w:rsidR="005A5A5B" w:rsidRDefault="005A5A5B" w:rsidP="00E45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0E07CC" w14:textId="77777777" w:rsidR="005A5A5B" w:rsidRDefault="005A5A5B" w:rsidP="00E456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70154529"/>
      <w:docPartObj>
        <w:docPartGallery w:val="Page Numbers (Bottom of Page)"/>
        <w:docPartUnique/>
      </w:docPartObj>
    </w:sdtPr>
    <w:sdtEndPr>
      <w:rPr>
        <w:rStyle w:val="PageNumber"/>
      </w:rPr>
    </w:sdtEndPr>
    <w:sdtContent>
      <w:p w14:paraId="4A5E5899" w14:textId="77777777" w:rsidR="005A5A5B" w:rsidRDefault="005A5A5B" w:rsidP="00E456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79D095" w14:textId="77777777" w:rsidR="005A5A5B" w:rsidRDefault="005A5A5B" w:rsidP="00E456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1126AD" w14:textId="77777777" w:rsidR="00E90ACF" w:rsidRDefault="00E90ACF">
      <w:r>
        <w:separator/>
      </w:r>
    </w:p>
  </w:footnote>
  <w:footnote w:type="continuationSeparator" w:id="0">
    <w:p w14:paraId="3F26211F" w14:textId="77777777" w:rsidR="00E90ACF" w:rsidRDefault="00E90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9365E"/>
    <w:multiLevelType w:val="hybridMultilevel"/>
    <w:tmpl w:val="8F9E1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8791B"/>
    <w:multiLevelType w:val="hybridMultilevel"/>
    <w:tmpl w:val="9E524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F3B48"/>
    <w:multiLevelType w:val="hybridMultilevel"/>
    <w:tmpl w:val="762C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B0D16"/>
    <w:multiLevelType w:val="hybridMultilevel"/>
    <w:tmpl w:val="6C86B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339C7"/>
    <w:multiLevelType w:val="hybridMultilevel"/>
    <w:tmpl w:val="9C607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425654"/>
    <w:multiLevelType w:val="hybridMultilevel"/>
    <w:tmpl w:val="2ABE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330AC"/>
    <w:multiLevelType w:val="hybridMultilevel"/>
    <w:tmpl w:val="7B12D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7327C2"/>
    <w:multiLevelType w:val="hybridMultilevel"/>
    <w:tmpl w:val="E9C0F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15C7A"/>
    <w:multiLevelType w:val="hybridMultilevel"/>
    <w:tmpl w:val="F6888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DC5AB3"/>
    <w:multiLevelType w:val="hybridMultilevel"/>
    <w:tmpl w:val="83828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A4F85470">
      <w:numFmt w:val="bullet"/>
      <w:lvlText w:val="-"/>
      <w:lvlJc w:val="left"/>
      <w:pPr>
        <w:ind w:left="5040" w:hanging="360"/>
      </w:pPr>
      <w:rPr>
        <w:rFonts w:ascii="Calibri" w:eastAsiaTheme="minorHAnsi" w:hAnsi="Calibri" w:cs="Calibri"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4D2266"/>
    <w:multiLevelType w:val="hybridMultilevel"/>
    <w:tmpl w:val="299ED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B2522D"/>
    <w:multiLevelType w:val="hybridMultilevel"/>
    <w:tmpl w:val="99C4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D0ACA"/>
    <w:multiLevelType w:val="hybridMultilevel"/>
    <w:tmpl w:val="F6EC8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303D35"/>
    <w:multiLevelType w:val="hybridMultilevel"/>
    <w:tmpl w:val="D9562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DD47A3"/>
    <w:multiLevelType w:val="hybridMultilevel"/>
    <w:tmpl w:val="FB1C0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B11119"/>
    <w:multiLevelType w:val="hybridMultilevel"/>
    <w:tmpl w:val="47BC4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0E703E"/>
    <w:multiLevelType w:val="hybridMultilevel"/>
    <w:tmpl w:val="235CC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9A15BA"/>
    <w:multiLevelType w:val="hybridMultilevel"/>
    <w:tmpl w:val="523E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17"/>
  </w:num>
  <w:num w:numId="4">
    <w:abstractNumId w:val="0"/>
  </w:num>
  <w:num w:numId="5">
    <w:abstractNumId w:val="2"/>
  </w:num>
  <w:num w:numId="6">
    <w:abstractNumId w:val="15"/>
  </w:num>
  <w:num w:numId="7">
    <w:abstractNumId w:val="10"/>
  </w:num>
  <w:num w:numId="8">
    <w:abstractNumId w:val="13"/>
  </w:num>
  <w:num w:numId="9">
    <w:abstractNumId w:val="8"/>
  </w:num>
  <w:num w:numId="10">
    <w:abstractNumId w:val="14"/>
  </w:num>
  <w:num w:numId="11">
    <w:abstractNumId w:val="7"/>
  </w:num>
  <w:num w:numId="12">
    <w:abstractNumId w:val="9"/>
  </w:num>
  <w:num w:numId="13">
    <w:abstractNumId w:val="6"/>
  </w:num>
  <w:num w:numId="14">
    <w:abstractNumId w:val="3"/>
  </w:num>
  <w:num w:numId="15">
    <w:abstractNumId w:val="4"/>
  </w:num>
  <w:num w:numId="16">
    <w:abstractNumId w:val="11"/>
  </w:num>
  <w:num w:numId="17">
    <w:abstractNumId w:val="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BF3"/>
    <w:rsid w:val="0000133F"/>
    <w:rsid w:val="00005BA2"/>
    <w:rsid w:val="00005FC5"/>
    <w:rsid w:val="000065D8"/>
    <w:rsid w:val="00006A9E"/>
    <w:rsid w:val="00014EF4"/>
    <w:rsid w:val="000200EA"/>
    <w:rsid w:val="00024754"/>
    <w:rsid w:val="00024EEB"/>
    <w:rsid w:val="00045D15"/>
    <w:rsid w:val="00047363"/>
    <w:rsid w:val="00051D68"/>
    <w:rsid w:val="000667D6"/>
    <w:rsid w:val="0008531D"/>
    <w:rsid w:val="00086B8E"/>
    <w:rsid w:val="00090E1E"/>
    <w:rsid w:val="00091910"/>
    <w:rsid w:val="00092B81"/>
    <w:rsid w:val="00094731"/>
    <w:rsid w:val="00094C4C"/>
    <w:rsid w:val="000B5A0C"/>
    <w:rsid w:val="000C07B5"/>
    <w:rsid w:val="000D1F4A"/>
    <w:rsid w:val="001345F6"/>
    <w:rsid w:val="00140E85"/>
    <w:rsid w:val="001555D4"/>
    <w:rsid w:val="001630FA"/>
    <w:rsid w:val="00180CEA"/>
    <w:rsid w:val="0018327F"/>
    <w:rsid w:val="00195C7B"/>
    <w:rsid w:val="001A345D"/>
    <w:rsid w:val="001B254E"/>
    <w:rsid w:val="001B337C"/>
    <w:rsid w:val="001C6B6D"/>
    <w:rsid w:val="001E37CA"/>
    <w:rsid w:val="0020048C"/>
    <w:rsid w:val="00204629"/>
    <w:rsid w:val="00214D90"/>
    <w:rsid w:val="00231A70"/>
    <w:rsid w:val="00234A7D"/>
    <w:rsid w:val="00245CF9"/>
    <w:rsid w:val="00255B0B"/>
    <w:rsid w:val="002723C7"/>
    <w:rsid w:val="00295760"/>
    <w:rsid w:val="002A145F"/>
    <w:rsid w:val="002A2DC4"/>
    <w:rsid w:val="002A7A53"/>
    <w:rsid w:val="002B4FAF"/>
    <w:rsid w:val="002B7343"/>
    <w:rsid w:val="002C3140"/>
    <w:rsid w:val="002C6676"/>
    <w:rsid w:val="002E5300"/>
    <w:rsid w:val="0030036B"/>
    <w:rsid w:val="003174D9"/>
    <w:rsid w:val="00326B56"/>
    <w:rsid w:val="00327A5E"/>
    <w:rsid w:val="003320E0"/>
    <w:rsid w:val="00337CA9"/>
    <w:rsid w:val="00337D94"/>
    <w:rsid w:val="00353141"/>
    <w:rsid w:val="00356ABE"/>
    <w:rsid w:val="00364ADD"/>
    <w:rsid w:val="003668E4"/>
    <w:rsid w:val="003713A9"/>
    <w:rsid w:val="0037256C"/>
    <w:rsid w:val="00376C0E"/>
    <w:rsid w:val="00386B99"/>
    <w:rsid w:val="00387BBE"/>
    <w:rsid w:val="0039178C"/>
    <w:rsid w:val="00393591"/>
    <w:rsid w:val="003A2705"/>
    <w:rsid w:val="003A593F"/>
    <w:rsid w:val="003B133C"/>
    <w:rsid w:val="003E6782"/>
    <w:rsid w:val="003E70DF"/>
    <w:rsid w:val="003F07E4"/>
    <w:rsid w:val="00410548"/>
    <w:rsid w:val="00423BB7"/>
    <w:rsid w:val="004324AE"/>
    <w:rsid w:val="00434B4A"/>
    <w:rsid w:val="00437687"/>
    <w:rsid w:val="004526EE"/>
    <w:rsid w:val="00456359"/>
    <w:rsid w:val="004610E1"/>
    <w:rsid w:val="004671B8"/>
    <w:rsid w:val="004772E4"/>
    <w:rsid w:val="004833D1"/>
    <w:rsid w:val="004944BE"/>
    <w:rsid w:val="004C0A57"/>
    <w:rsid w:val="004D11B2"/>
    <w:rsid w:val="004E0575"/>
    <w:rsid w:val="004E5873"/>
    <w:rsid w:val="004F279B"/>
    <w:rsid w:val="004F2CDC"/>
    <w:rsid w:val="00501281"/>
    <w:rsid w:val="00535556"/>
    <w:rsid w:val="005406E5"/>
    <w:rsid w:val="00541372"/>
    <w:rsid w:val="005550BC"/>
    <w:rsid w:val="00556813"/>
    <w:rsid w:val="00562179"/>
    <w:rsid w:val="005627CC"/>
    <w:rsid w:val="00565E1D"/>
    <w:rsid w:val="005667A1"/>
    <w:rsid w:val="00567CD9"/>
    <w:rsid w:val="00577855"/>
    <w:rsid w:val="005A5A5B"/>
    <w:rsid w:val="005B6BF8"/>
    <w:rsid w:val="005C0CBC"/>
    <w:rsid w:val="005C6E2C"/>
    <w:rsid w:val="005D1C6C"/>
    <w:rsid w:val="005E3A5E"/>
    <w:rsid w:val="005E53DA"/>
    <w:rsid w:val="005E6F5B"/>
    <w:rsid w:val="005F45C9"/>
    <w:rsid w:val="006114F6"/>
    <w:rsid w:val="0061704A"/>
    <w:rsid w:val="00623897"/>
    <w:rsid w:val="006238D6"/>
    <w:rsid w:val="0062567F"/>
    <w:rsid w:val="0062668A"/>
    <w:rsid w:val="006418F2"/>
    <w:rsid w:val="00644794"/>
    <w:rsid w:val="00663554"/>
    <w:rsid w:val="00670299"/>
    <w:rsid w:val="00670899"/>
    <w:rsid w:val="00672CA0"/>
    <w:rsid w:val="0068175D"/>
    <w:rsid w:val="006941F2"/>
    <w:rsid w:val="006A53E8"/>
    <w:rsid w:val="006A7B98"/>
    <w:rsid w:val="006B4BAD"/>
    <w:rsid w:val="006B7866"/>
    <w:rsid w:val="006C1685"/>
    <w:rsid w:val="006C4406"/>
    <w:rsid w:val="006D7515"/>
    <w:rsid w:val="006E305A"/>
    <w:rsid w:val="00732D69"/>
    <w:rsid w:val="0073412E"/>
    <w:rsid w:val="007423E1"/>
    <w:rsid w:val="0074462B"/>
    <w:rsid w:val="00752B28"/>
    <w:rsid w:val="007619F0"/>
    <w:rsid w:val="00762DB3"/>
    <w:rsid w:val="00786101"/>
    <w:rsid w:val="007A318F"/>
    <w:rsid w:val="007A4270"/>
    <w:rsid w:val="007B498F"/>
    <w:rsid w:val="007C0BF9"/>
    <w:rsid w:val="007F026A"/>
    <w:rsid w:val="00802C8B"/>
    <w:rsid w:val="00807662"/>
    <w:rsid w:val="008100C1"/>
    <w:rsid w:val="00811399"/>
    <w:rsid w:val="008138BB"/>
    <w:rsid w:val="008160A7"/>
    <w:rsid w:val="00823CD4"/>
    <w:rsid w:val="008272E1"/>
    <w:rsid w:val="00871751"/>
    <w:rsid w:val="00874307"/>
    <w:rsid w:val="00874DA6"/>
    <w:rsid w:val="00887A19"/>
    <w:rsid w:val="00890A87"/>
    <w:rsid w:val="008B44CB"/>
    <w:rsid w:val="008C01F2"/>
    <w:rsid w:val="008E2292"/>
    <w:rsid w:val="008E309C"/>
    <w:rsid w:val="008E5637"/>
    <w:rsid w:val="008E76D9"/>
    <w:rsid w:val="009048BF"/>
    <w:rsid w:val="00912208"/>
    <w:rsid w:val="009139A3"/>
    <w:rsid w:val="00913A4D"/>
    <w:rsid w:val="009161A4"/>
    <w:rsid w:val="00920FAE"/>
    <w:rsid w:val="00923C47"/>
    <w:rsid w:val="0093382F"/>
    <w:rsid w:val="00950B33"/>
    <w:rsid w:val="00951626"/>
    <w:rsid w:val="009659D7"/>
    <w:rsid w:val="00984A02"/>
    <w:rsid w:val="00990105"/>
    <w:rsid w:val="009A763C"/>
    <w:rsid w:val="009B3612"/>
    <w:rsid w:val="009B4160"/>
    <w:rsid w:val="009D1D96"/>
    <w:rsid w:val="009D55AA"/>
    <w:rsid w:val="009E0093"/>
    <w:rsid w:val="009F3420"/>
    <w:rsid w:val="009F6BFB"/>
    <w:rsid w:val="00A16C05"/>
    <w:rsid w:val="00A26259"/>
    <w:rsid w:val="00A36370"/>
    <w:rsid w:val="00A36A45"/>
    <w:rsid w:val="00A42567"/>
    <w:rsid w:val="00A572DC"/>
    <w:rsid w:val="00A6136B"/>
    <w:rsid w:val="00A63E92"/>
    <w:rsid w:val="00A6462E"/>
    <w:rsid w:val="00A65A5F"/>
    <w:rsid w:val="00A67BF3"/>
    <w:rsid w:val="00A72CA7"/>
    <w:rsid w:val="00A83DBF"/>
    <w:rsid w:val="00A973CF"/>
    <w:rsid w:val="00AA76D4"/>
    <w:rsid w:val="00AC5DBB"/>
    <w:rsid w:val="00AD0900"/>
    <w:rsid w:val="00AD55EA"/>
    <w:rsid w:val="00AE4714"/>
    <w:rsid w:val="00AE6CF2"/>
    <w:rsid w:val="00AF244F"/>
    <w:rsid w:val="00B03E80"/>
    <w:rsid w:val="00B1012F"/>
    <w:rsid w:val="00B130C5"/>
    <w:rsid w:val="00B51E44"/>
    <w:rsid w:val="00B73A18"/>
    <w:rsid w:val="00B8505D"/>
    <w:rsid w:val="00B879FF"/>
    <w:rsid w:val="00B90300"/>
    <w:rsid w:val="00B94C54"/>
    <w:rsid w:val="00BA0673"/>
    <w:rsid w:val="00BA15BC"/>
    <w:rsid w:val="00BA4889"/>
    <w:rsid w:val="00BB21CB"/>
    <w:rsid w:val="00BC07DC"/>
    <w:rsid w:val="00BE056E"/>
    <w:rsid w:val="00C06A27"/>
    <w:rsid w:val="00C20AAF"/>
    <w:rsid w:val="00C2769D"/>
    <w:rsid w:val="00C33BA7"/>
    <w:rsid w:val="00C35DF6"/>
    <w:rsid w:val="00C41286"/>
    <w:rsid w:val="00C42EFD"/>
    <w:rsid w:val="00C52526"/>
    <w:rsid w:val="00C5747C"/>
    <w:rsid w:val="00C57C27"/>
    <w:rsid w:val="00C81284"/>
    <w:rsid w:val="00C854AE"/>
    <w:rsid w:val="00C92ED8"/>
    <w:rsid w:val="00C95F5F"/>
    <w:rsid w:val="00C9653C"/>
    <w:rsid w:val="00CB112A"/>
    <w:rsid w:val="00CC77DE"/>
    <w:rsid w:val="00CE5D2F"/>
    <w:rsid w:val="00CE661A"/>
    <w:rsid w:val="00D20215"/>
    <w:rsid w:val="00D26CF6"/>
    <w:rsid w:val="00D271A3"/>
    <w:rsid w:val="00D46314"/>
    <w:rsid w:val="00D61F9A"/>
    <w:rsid w:val="00D64BB9"/>
    <w:rsid w:val="00D669DC"/>
    <w:rsid w:val="00D7434F"/>
    <w:rsid w:val="00D76D4D"/>
    <w:rsid w:val="00D872BD"/>
    <w:rsid w:val="00D97C7C"/>
    <w:rsid w:val="00DA09F3"/>
    <w:rsid w:val="00DA3D40"/>
    <w:rsid w:val="00DA63F1"/>
    <w:rsid w:val="00DB0EC7"/>
    <w:rsid w:val="00DB1E70"/>
    <w:rsid w:val="00DB46D6"/>
    <w:rsid w:val="00DB75D6"/>
    <w:rsid w:val="00DC5FA4"/>
    <w:rsid w:val="00DD4855"/>
    <w:rsid w:val="00E02B00"/>
    <w:rsid w:val="00E22A85"/>
    <w:rsid w:val="00E36B38"/>
    <w:rsid w:val="00E36BC2"/>
    <w:rsid w:val="00E45606"/>
    <w:rsid w:val="00E46DFC"/>
    <w:rsid w:val="00E46E27"/>
    <w:rsid w:val="00E5227D"/>
    <w:rsid w:val="00E619A2"/>
    <w:rsid w:val="00E65BE4"/>
    <w:rsid w:val="00E715BA"/>
    <w:rsid w:val="00E87896"/>
    <w:rsid w:val="00E904EE"/>
    <w:rsid w:val="00E90ACF"/>
    <w:rsid w:val="00EC63B6"/>
    <w:rsid w:val="00ED23FB"/>
    <w:rsid w:val="00ED309C"/>
    <w:rsid w:val="00ED3183"/>
    <w:rsid w:val="00ED3ADC"/>
    <w:rsid w:val="00EE3B58"/>
    <w:rsid w:val="00EF0E07"/>
    <w:rsid w:val="00EF4319"/>
    <w:rsid w:val="00EF5AD9"/>
    <w:rsid w:val="00EF6B54"/>
    <w:rsid w:val="00F03319"/>
    <w:rsid w:val="00F134F6"/>
    <w:rsid w:val="00F15747"/>
    <w:rsid w:val="00F2206C"/>
    <w:rsid w:val="00F56185"/>
    <w:rsid w:val="00F56E2E"/>
    <w:rsid w:val="00F75D8A"/>
    <w:rsid w:val="00F77B6D"/>
    <w:rsid w:val="00F8013F"/>
    <w:rsid w:val="00F84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464E2"/>
  <w15:chartTrackingRefBased/>
  <w15:docId w15:val="{7EA6ED17-CFAC-B24F-B218-9E49FF31F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7BF3"/>
  </w:style>
  <w:style w:type="paragraph" w:styleId="Heading1">
    <w:name w:val="heading 1"/>
    <w:basedOn w:val="Normal"/>
    <w:next w:val="Normal"/>
    <w:link w:val="Heading1Char"/>
    <w:uiPriority w:val="9"/>
    <w:qFormat/>
    <w:rsid w:val="00A973C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73C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326B5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7BF3"/>
    <w:pPr>
      <w:keepNext/>
      <w:keepLines/>
      <w:spacing w:before="40"/>
      <w:outlineLvl w:val="5"/>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A67BF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26E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526EE"/>
    <w:rPr>
      <w:rFonts w:ascii="Times New Roman" w:hAnsi="Times New Roman" w:cs="Times New Roman"/>
      <w:sz w:val="18"/>
      <w:szCs w:val="18"/>
    </w:rPr>
  </w:style>
  <w:style w:type="character" w:customStyle="1" w:styleId="Heading6Char">
    <w:name w:val="Heading 6 Char"/>
    <w:basedOn w:val="DefaultParagraphFont"/>
    <w:link w:val="Heading6"/>
    <w:uiPriority w:val="9"/>
    <w:semiHidden/>
    <w:rsid w:val="00A67BF3"/>
    <w:rPr>
      <w:rFonts w:asciiTheme="majorHAnsi" w:eastAsiaTheme="majorEastAsia" w:hAnsiTheme="majorHAnsi" w:cstheme="majorBidi"/>
      <w:color w:val="1F3763" w:themeColor="accent1" w:themeShade="7F"/>
    </w:rPr>
  </w:style>
  <w:style w:type="character" w:customStyle="1" w:styleId="Heading9Char">
    <w:name w:val="Heading 9 Char"/>
    <w:basedOn w:val="DefaultParagraphFont"/>
    <w:link w:val="Heading9"/>
    <w:uiPriority w:val="9"/>
    <w:semiHidden/>
    <w:rsid w:val="00A67BF3"/>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unhideWhenUsed/>
    <w:rsid w:val="00A67BF3"/>
    <w:pPr>
      <w:tabs>
        <w:tab w:val="center" w:pos="4680"/>
        <w:tab w:val="right" w:pos="9360"/>
      </w:tabs>
    </w:pPr>
  </w:style>
  <w:style w:type="character" w:customStyle="1" w:styleId="FooterChar">
    <w:name w:val="Footer Char"/>
    <w:basedOn w:val="DefaultParagraphFont"/>
    <w:link w:val="Footer"/>
    <w:uiPriority w:val="99"/>
    <w:rsid w:val="00A67BF3"/>
  </w:style>
  <w:style w:type="character" w:styleId="PageNumber">
    <w:name w:val="page number"/>
    <w:basedOn w:val="DefaultParagraphFont"/>
    <w:uiPriority w:val="99"/>
    <w:semiHidden/>
    <w:unhideWhenUsed/>
    <w:rsid w:val="00A67BF3"/>
  </w:style>
  <w:style w:type="character" w:styleId="LineNumber">
    <w:name w:val="line number"/>
    <w:basedOn w:val="DefaultParagraphFont"/>
    <w:uiPriority w:val="99"/>
    <w:semiHidden/>
    <w:unhideWhenUsed/>
    <w:rsid w:val="00A67BF3"/>
  </w:style>
  <w:style w:type="paragraph" w:styleId="ListParagraph">
    <w:name w:val="List Paragraph"/>
    <w:basedOn w:val="Normal"/>
    <w:uiPriority w:val="34"/>
    <w:qFormat/>
    <w:rsid w:val="00A67BF3"/>
    <w:pPr>
      <w:ind w:left="720"/>
      <w:contextualSpacing/>
    </w:pPr>
  </w:style>
  <w:style w:type="character" w:styleId="Hyperlink">
    <w:name w:val="Hyperlink"/>
    <w:basedOn w:val="DefaultParagraphFont"/>
    <w:uiPriority w:val="99"/>
    <w:unhideWhenUsed/>
    <w:rsid w:val="00A67BF3"/>
    <w:rPr>
      <w:color w:val="0563C1" w:themeColor="hyperlink"/>
      <w:u w:val="single"/>
    </w:rPr>
  </w:style>
  <w:style w:type="character" w:styleId="FollowedHyperlink">
    <w:name w:val="FollowedHyperlink"/>
    <w:basedOn w:val="DefaultParagraphFont"/>
    <w:uiPriority w:val="99"/>
    <w:semiHidden/>
    <w:unhideWhenUsed/>
    <w:rsid w:val="00A67BF3"/>
    <w:rPr>
      <w:color w:val="954F72" w:themeColor="followedHyperlink"/>
      <w:u w:val="single"/>
    </w:rPr>
  </w:style>
  <w:style w:type="character" w:styleId="CommentReference">
    <w:name w:val="annotation reference"/>
    <w:basedOn w:val="DefaultParagraphFont"/>
    <w:uiPriority w:val="99"/>
    <w:semiHidden/>
    <w:unhideWhenUsed/>
    <w:rsid w:val="00A67BF3"/>
    <w:rPr>
      <w:sz w:val="16"/>
      <w:szCs w:val="16"/>
    </w:rPr>
  </w:style>
  <w:style w:type="paragraph" w:styleId="CommentText">
    <w:name w:val="annotation text"/>
    <w:basedOn w:val="Normal"/>
    <w:link w:val="CommentTextChar"/>
    <w:uiPriority w:val="99"/>
    <w:unhideWhenUsed/>
    <w:rsid w:val="00A67BF3"/>
    <w:rPr>
      <w:sz w:val="20"/>
      <w:szCs w:val="20"/>
    </w:rPr>
  </w:style>
  <w:style w:type="character" w:customStyle="1" w:styleId="CommentTextChar">
    <w:name w:val="Comment Text Char"/>
    <w:basedOn w:val="DefaultParagraphFont"/>
    <w:link w:val="CommentText"/>
    <w:uiPriority w:val="99"/>
    <w:rsid w:val="00A67BF3"/>
    <w:rPr>
      <w:sz w:val="20"/>
      <w:szCs w:val="20"/>
    </w:rPr>
  </w:style>
  <w:style w:type="paragraph" w:styleId="CommentSubject">
    <w:name w:val="annotation subject"/>
    <w:basedOn w:val="CommentText"/>
    <w:next w:val="CommentText"/>
    <w:link w:val="CommentSubjectChar"/>
    <w:uiPriority w:val="99"/>
    <w:semiHidden/>
    <w:unhideWhenUsed/>
    <w:rsid w:val="00A67BF3"/>
    <w:rPr>
      <w:b/>
      <w:bCs/>
    </w:rPr>
  </w:style>
  <w:style w:type="character" w:customStyle="1" w:styleId="CommentSubjectChar">
    <w:name w:val="Comment Subject Char"/>
    <w:basedOn w:val="CommentTextChar"/>
    <w:link w:val="CommentSubject"/>
    <w:uiPriority w:val="99"/>
    <w:semiHidden/>
    <w:rsid w:val="00A67BF3"/>
    <w:rPr>
      <w:b/>
      <w:bCs/>
      <w:sz w:val="20"/>
      <w:szCs w:val="20"/>
    </w:rPr>
  </w:style>
  <w:style w:type="character" w:styleId="UnresolvedMention">
    <w:name w:val="Unresolved Mention"/>
    <w:basedOn w:val="DefaultParagraphFont"/>
    <w:uiPriority w:val="99"/>
    <w:semiHidden/>
    <w:unhideWhenUsed/>
    <w:rsid w:val="00A67BF3"/>
    <w:rPr>
      <w:color w:val="605E5C"/>
      <w:shd w:val="clear" w:color="auto" w:fill="E1DFDD"/>
    </w:rPr>
  </w:style>
  <w:style w:type="table" w:styleId="TableGrid">
    <w:name w:val="Table Grid"/>
    <w:basedOn w:val="TableNormal"/>
    <w:uiPriority w:val="39"/>
    <w:rsid w:val="00A67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s">
    <w:name w:val="captions"/>
    <w:basedOn w:val="Heading9"/>
    <w:next w:val="Heading9"/>
    <w:qFormat/>
    <w:rsid w:val="00A67BF3"/>
    <w:pPr>
      <w:spacing w:before="0"/>
    </w:pPr>
    <w:rPr>
      <w:rFonts w:ascii="Times New Roman" w:hAnsi="Times New Roman"/>
      <w:b/>
      <w:color w:val="000000" w:themeColor="text1"/>
      <w:sz w:val="22"/>
    </w:rPr>
  </w:style>
  <w:style w:type="character" w:styleId="PlaceholderText">
    <w:name w:val="Placeholder Text"/>
    <w:basedOn w:val="DefaultParagraphFont"/>
    <w:uiPriority w:val="99"/>
    <w:semiHidden/>
    <w:rsid w:val="00A67BF3"/>
    <w:rPr>
      <w:color w:val="808080"/>
    </w:rPr>
  </w:style>
  <w:style w:type="paragraph" w:styleId="Revision">
    <w:name w:val="Revision"/>
    <w:hidden/>
    <w:uiPriority w:val="99"/>
    <w:semiHidden/>
    <w:rsid w:val="00A67BF3"/>
  </w:style>
  <w:style w:type="paragraph" w:customStyle="1" w:styleId="EndNoteBibliographyTitle">
    <w:name w:val="EndNote Bibliography Title"/>
    <w:basedOn w:val="Normal"/>
    <w:link w:val="EndNoteBibliographyTitleChar"/>
    <w:rsid w:val="00A67BF3"/>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A67BF3"/>
    <w:rPr>
      <w:rFonts w:ascii="Calibri" w:hAnsi="Calibri" w:cs="Calibri"/>
    </w:rPr>
  </w:style>
  <w:style w:type="paragraph" w:customStyle="1" w:styleId="EndNoteBibliography">
    <w:name w:val="EndNote Bibliography"/>
    <w:basedOn w:val="Normal"/>
    <w:link w:val="EndNoteBibliographyChar"/>
    <w:rsid w:val="00A67BF3"/>
    <w:rPr>
      <w:rFonts w:ascii="Calibri" w:hAnsi="Calibri" w:cs="Calibri"/>
    </w:rPr>
  </w:style>
  <w:style w:type="character" w:customStyle="1" w:styleId="EndNoteBibliographyChar">
    <w:name w:val="EndNote Bibliography Char"/>
    <w:basedOn w:val="DefaultParagraphFont"/>
    <w:link w:val="EndNoteBibliography"/>
    <w:rsid w:val="00A67BF3"/>
    <w:rPr>
      <w:rFonts w:ascii="Calibri" w:hAnsi="Calibri" w:cs="Calibri"/>
    </w:rPr>
  </w:style>
  <w:style w:type="paragraph" w:styleId="Caption">
    <w:name w:val="caption"/>
    <w:basedOn w:val="Normal"/>
    <w:next w:val="Normal"/>
    <w:uiPriority w:val="35"/>
    <w:unhideWhenUsed/>
    <w:qFormat/>
    <w:rsid w:val="00A67BF3"/>
    <w:pPr>
      <w:spacing w:after="200"/>
      <w:jc w:val="both"/>
    </w:pPr>
    <w:rPr>
      <w:rFonts w:ascii="Times New Roman" w:eastAsiaTheme="minorEastAsia" w:hAnsi="Times New Roman" w:cs="Times New Roman"/>
      <w:iCs/>
      <w:sz w:val="20"/>
      <w:szCs w:val="18"/>
    </w:rPr>
  </w:style>
  <w:style w:type="character" w:customStyle="1" w:styleId="Heading5Char">
    <w:name w:val="Heading 5 Char"/>
    <w:basedOn w:val="DefaultParagraphFont"/>
    <w:link w:val="Heading5"/>
    <w:uiPriority w:val="9"/>
    <w:rsid w:val="00326B56"/>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014EF4"/>
    <w:pPr>
      <w:tabs>
        <w:tab w:val="center" w:pos="4680"/>
        <w:tab w:val="right" w:pos="9360"/>
      </w:tabs>
    </w:pPr>
  </w:style>
  <w:style w:type="character" w:customStyle="1" w:styleId="HeaderChar">
    <w:name w:val="Header Char"/>
    <w:basedOn w:val="DefaultParagraphFont"/>
    <w:link w:val="Header"/>
    <w:uiPriority w:val="99"/>
    <w:rsid w:val="00014EF4"/>
  </w:style>
  <w:style w:type="character" w:customStyle="1" w:styleId="Heading1Char">
    <w:name w:val="Heading 1 Char"/>
    <w:basedOn w:val="DefaultParagraphFont"/>
    <w:link w:val="Heading1"/>
    <w:uiPriority w:val="9"/>
    <w:rsid w:val="00A973C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973C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A2791-2206-D044-84C8-5DBC80E08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22298</Words>
  <Characters>132898</Characters>
  <Application>Microsoft Office Word</Application>
  <DocSecurity>0</DocSecurity>
  <Lines>3164</Lines>
  <Paragraphs>1536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Impeiral</dc:creator>
  <cp:keywords/>
  <dc:description/>
  <cp:lastModifiedBy>Marjorie Imperial</cp:lastModifiedBy>
  <cp:revision>4</cp:revision>
  <dcterms:created xsi:type="dcterms:W3CDTF">2021-07-29T22:08:00Z</dcterms:created>
  <dcterms:modified xsi:type="dcterms:W3CDTF">2021-07-30T18:24:00Z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http://www.zotero.org/styles/american-journal-of-respiratory-and-critical-care-medicine</vt:lpwstr>
  </property>
  <property fmtid="{D5CDD505-2E9C-101B-9397-08002B2CF9AE}" pid="3" name="Mendeley Recent Style Name 0_1">
    <vt:lpwstr>American Journal of Respiratory and Critical Care Medicine</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http://www.zotero.org/styles/clinical-infectious-diseases</vt:lpwstr>
  </property>
  <property fmtid="{D5CDD505-2E9C-101B-9397-08002B2CF9AE}" pid="9" name="Mendeley Recent Style Name 3_1">
    <vt:lpwstr>Clinical Infectious Diseases</vt:lpwstr>
  </property>
  <property fmtid="{D5CDD505-2E9C-101B-9397-08002B2CF9AE}" pid="10" name="Mendeley Recent Style Id 4_1">
    <vt:lpwstr>http://csl.mendeley.com/styles/22817841/convert-to-endnote</vt:lpwstr>
  </property>
  <property fmtid="{D5CDD505-2E9C-101B-9397-08002B2CF9AE}" pid="11" name="Mendeley Recent Style Name 4_1">
    <vt:lpwstr>Convert to EndNote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http://www.zotero.org/styles/the-lancet-infectious-diseases</vt:lpwstr>
  </property>
  <property fmtid="{D5CDD505-2E9C-101B-9397-08002B2CF9AE}" pid="19" name="Mendeley Recent Style Name 8_1">
    <vt:lpwstr>The Lancet Infectious Diseases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f490abfe-f06a-31fa-83e2-2b2ef8337988</vt:lpwstr>
  </property>
  <property fmtid="{D5CDD505-2E9C-101B-9397-08002B2CF9AE}" pid="24" name="Mendeley Citation Style_1">
    <vt:lpwstr>http://www.zotero.org/styles/clinical-infectious-diseases</vt:lpwstr>
  </property>
</Properties>
</file>