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-406399</wp:posOffset>
                </wp:positionV>
                <wp:extent cx="2432685" cy="268605"/>
                <wp:effectExtent b="0" l="0" r="0" t="0"/>
                <wp:wrapNone/>
                <wp:docPr id="212005397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34420" y="3650460"/>
                          <a:ext cx="242316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Технически университет - София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-406399</wp:posOffset>
                </wp:positionV>
                <wp:extent cx="2432685" cy="268605"/>
                <wp:effectExtent b="0" l="0" r="0" t="0"/>
                <wp:wrapNone/>
                <wp:docPr id="212005397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268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2590165</wp:posOffset>
                </wp:positionH>
                <wp:positionV relativeFrom="paragraph">
                  <wp:posOffset>-861693</wp:posOffset>
                </wp:positionV>
                <wp:extent cx="571500" cy="510540"/>
                <wp:wrapNone/>
                <wp:docPr id="2120053975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86329A" w:rsidDel="00000000" w:rsidP="00000000" w:rsidRDefault="0086329A" w:rsidRPr="00000000" w14:paraId="210357F1" w14:textId="67EB2693">
                            <w:r w:rsidDel="00000000" w:rsidR="00000000" w:rsidRPr="0086329A">
                              <w:rPr>
                                <w:noProof w:val="1"/>
                              </w:rPr>
                              <w:drawing>
                                <wp:inline distB="0" distT="0" distL="0" distR="0">
                                  <wp:extent cx="389255" cy="409575"/>
                                  <wp:effectExtent b="9525" l="0" r="0" t="0"/>
                                  <wp:docPr id="1606825374" name="Graphic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6825374" name=""/>
                                          <pic:cNvPicPr/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96DAC541-7B7A-43D3-8B79-37D633B846F1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25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2590165</wp:posOffset>
                </wp:positionH>
                <wp:positionV relativeFrom="paragraph">
                  <wp:posOffset>-861693</wp:posOffset>
                </wp:positionV>
                <wp:extent cx="571500" cy="510540"/>
                <wp:effectExtent b="0" l="0" r="0" t="0"/>
                <wp:wrapNone/>
                <wp:docPr id="212005397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510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Анализ на бизнес данни в социалната мрежа Facebook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5334000</wp:posOffset>
                </wp:positionV>
                <wp:extent cx="5221605" cy="847725"/>
                <wp:effectExtent b="0" l="0" r="0" t="0"/>
                <wp:wrapNone/>
                <wp:docPr id="212005397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39960" y="3360900"/>
                          <a:ext cx="521208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Изготвили: Савина Вълчанова, Денис Цолов, Цветомир Цветков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Специалност: АГМПД, ФПМИ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5334000</wp:posOffset>
                </wp:positionV>
                <wp:extent cx="5221605" cy="847725"/>
                <wp:effectExtent b="0" l="0" r="0" t="0"/>
                <wp:wrapNone/>
                <wp:docPr id="212005397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1605" cy="847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Съдържание: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Въведение………………………………………………………………3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Цел………………………………………………………………………3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Експериментална рамка – методи и техника на анализ……………..4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и анализ на данните……………………………………….6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Представяне и визуализация на резултатите…………………………9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 и изводи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Сорс код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Информационни източници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Въведение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Силните, ефективни акаунти в социалните медии са един от най-добрите методи за свързване с вашата целева аудитория. Можете да споделяте промоции, да им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предоставяте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бизнес актуализации и най-важното, да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създавате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връзки, които увеличават лоялността към марката.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 как да разберете дали вашите профили в социалните медии стимулират ангажираността? Най-добрият начин да разберете е с маркетингов анализ в социалните медии.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Когато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анализирате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акаунтите си в социалните медии, можете да видите показатели като: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Нови последователи;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Прекратява следенето;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Публикуване на ангажименти;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Обхват;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Споменавания;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още.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Този вид информация може да ви помогне да разберете как вашата аудитория взаимодейства с вашите социални платформи — и ако не сте доволни, можете да направите необходимите корекции и промени.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Целта на тази разработка е да анализира социалната мрежа Facebook. Оценка на ефективността на рекламната кампания и формулиране на препоръки за оптимизация на маркетинговите стратегии.</w:t>
      </w:r>
    </w:p>
    <w:p w:rsidR="00000000" w:rsidDel="00000000" w:rsidP="00000000" w:rsidRDefault="00000000" w:rsidRPr="00000000" w14:paraId="00000022">
      <w:pPr>
        <w:spacing w:after="280" w:before="2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Подцели с използване на предоставените колони: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before="28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Демография: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Колони: age, gender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Цел: Анализиране на възрастовите групи и пола на потребителите, които взаимодействат с кампанията.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на ангажираността: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Колони: interest1, interest2, interest3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Цел: Изучаване на интересите на потребителите, за да се види кои типове съдържание са най-популярни и ефективни.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Времеви анализ: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Колони: reporting_start, reporting_end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Цел: Изследване на времевите периоди на кампанията и идентифициране на пиковите времена на активност.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Идентификация на кампаниите: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Колони: campaign_id, fb_campaign_id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28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Цел: Разграничаване на различните кампании и проследяване на тяхната ефективност и въздействие.</w:t>
      </w:r>
    </w:p>
    <w:p w:rsidR="00000000" w:rsidDel="00000000" w:rsidP="00000000" w:rsidRDefault="00000000" w:rsidRPr="00000000" w14:paraId="0000002F">
      <w:pPr>
        <w:spacing w:after="280" w:before="280" w:line="240" w:lineRule="auto"/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Експериментална рамка – методи и техника на анализ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тази секция ще опишем методите и техниките, използвани за анализа на данни от рекламната кампания във Facebook.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Набори данни (Datasets):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Източник на данни: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467886"/>
            <w:sz w:val="28"/>
            <w:szCs w:val="28"/>
            <w:u w:val="single"/>
            <w:rtl w:val="0"/>
          </w:rPr>
          <w:t xml:space="preserve">https://www.kaggle.com/datasets/madislemsalu/facebook-ad-campaign/data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Обхванати колони: reporting_start, reporting_end, campaign_id, fb_campaign_id, age, gender, interest1, interest2, interest3.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Период на събиране: Данните обхващат различни периоди от време.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Обработка на данни: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Почистване на данни: Премахване на дублирани записи, справяне с липсващи стойности и коригиране на грешки в данните.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Преобразуване на данни: Преобразуване на времеви данни и форматиране на числови и категорийни стойности за по-лесен анализ.</w:t>
      </w:r>
    </w:p>
    <w:p w:rsidR="00000000" w:rsidDel="00000000" w:rsidP="00000000" w:rsidRDefault="00000000" w:rsidRPr="00000000" w14:paraId="0000003A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Избор на метод и техника за анализ: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Демографски анализ: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Метод: Използване на описателни статистики за анализ на възрастовите групи и пола на потребителите.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Техника: Честотен анализ и визуализация чрез хистограми и бокс плотове.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на интересите: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Метод: Изследване на предпочитанията на потребителите по различни интереси.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Техника: Създаване на бар графики и разпределение на интересите с помощта на библиотеки като Seaborn и Matplotlib.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Времеви анализ: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Метод: Анализ на времевите серии за идентифициране на пикове в активността на потребителите.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Техника: Използване на времеви графики и анализ на продължителността на кампаниите.</w:t>
      </w:r>
    </w:p>
    <w:p w:rsidR="00000000" w:rsidDel="00000000" w:rsidP="00000000" w:rsidRDefault="00000000" w:rsidRPr="00000000" w14:paraId="00000045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Използвани библиотеки и софтуерни средства: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Pandas: За манипулиране и анализ на данните.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NumPy: За математически изчисления и операции.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Matplotlib: За създаване на графики и визуализации на резултатите.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Seaborn: За по-сложни и изящни визуализации.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Sklearn: За конвертиране на категорийни променливи в числови стойности.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Jupyter Notebook: За организиране, изпълнение и представяне на анализа.</w:t>
        <w:br w:type="textWrapping"/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Техника за интерпретация на резултатите: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на резултатите: Подробно описание на наблюдаваните тенденции и модели в данните.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Формулиране на препоръки: На базата на анализа ще се изготвят препоръки за оптимизация на бъдещите рекламни кампании.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и анализ на данните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Набор от данни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Фигура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4">
      <w:pPr>
        <w:keepNext w:val="1"/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6739461" cy="3089533"/>
            <wp:effectExtent b="0" l="0" r="0" t="0"/>
            <wp:docPr descr="A screenshot of a computer&#10;&#10;Description automatically generated" id="2120053990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9229" l="19289" r="15212" t="37391"/>
                    <a:stretch>
                      <a:fillRect/>
                    </a:stretch>
                  </pic:blipFill>
                  <pic:spPr>
                    <a:xfrm>
                      <a:off x="0" y="0"/>
                      <a:ext cx="6739461" cy="3089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1. Датасета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на набора от данни</w:t>
      </w:r>
    </w:p>
    <w:p w:rsidR="00000000" w:rsidDel="00000000" w:rsidP="00000000" w:rsidRDefault="00000000" w:rsidRPr="00000000" w14:paraId="00000057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492014" cy="2987612"/>
            <wp:effectExtent b="0" l="0" r="0" t="0"/>
            <wp:docPr id="212005398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0641" l="16205" r="63954" t="59181"/>
                    <a:stretch>
                      <a:fillRect/>
                    </a:stretch>
                  </pic:blipFill>
                  <pic:spPr>
                    <a:xfrm>
                      <a:off x="0" y="0"/>
                      <a:ext cx="3492014" cy="2987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e284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2. Типове данни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Визуализирайки типовете, виждаме, че имаме int, obj и float.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Проверяваме дали имам липсващи стойности.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666052" cy="2608226"/>
            <wp:effectExtent b="0" l="0" r="0" t="0"/>
            <wp:docPr descr="A screenshot of a computer&#10;&#10;Description automatically generated" id="2120053992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4"/>
                    <a:srcRect b="15539" l="17086" r="60206" t="55739"/>
                    <a:stretch>
                      <a:fillRect/>
                    </a:stretch>
                  </pic:blipFill>
                  <pic:spPr>
                    <a:xfrm>
                      <a:off x="0" y="0"/>
                      <a:ext cx="3666052" cy="2608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3. Стойности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Създаваме campaign_duration за проследяване на кампаниите.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Също създаваме engagement_rate за ангажираността.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F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277999" cy="1595514"/>
            <wp:effectExtent b="0" l="0" r="0" t="0"/>
            <wp:docPr descr="A screenshot of a computer&#10;&#10;Description automatically generated" id="2120053991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5"/>
                    <a:srcRect b="31805" l="16534" r="43563" t="50166"/>
                    <a:stretch>
                      <a:fillRect/>
                    </a:stretch>
                  </pic:blipFill>
                  <pic:spPr>
                    <a:xfrm>
                      <a:off x="0" y="0"/>
                      <a:ext cx="6277999" cy="1595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Play" w:cs="Play" w:eastAsia="Play" w:hAnsi="Play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4. campaign_duration</w:t>
      </w:r>
    </w:p>
    <w:p w:rsidR="00000000" w:rsidDel="00000000" w:rsidP="00000000" w:rsidRDefault="00000000" w:rsidRPr="00000000" w14:paraId="00000061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787891" cy="1685962"/>
            <wp:effectExtent b="0" l="0" r="0" t="0"/>
            <wp:docPr descr="A screenshot of a computer&#10;&#10;Description automatically generated" id="2120053994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6"/>
                    <a:srcRect b="38664" l="18739" r="44555" t="42328"/>
                    <a:stretch>
                      <a:fillRect/>
                    </a:stretch>
                  </pic:blipFill>
                  <pic:spPr>
                    <a:xfrm>
                      <a:off x="0" y="0"/>
                      <a:ext cx="5787891" cy="168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5. engagement_rate</w:t>
      </w:r>
    </w:p>
    <w:p w:rsidR="00000000" w:rsidDel="00000000" w:rsidP="00000000" w:rsidRDefault="00000000" w:rsidRPr="00000000" w14:paraId="00000063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600984" cy="890223"/>
            <wp:effectExtent b="0" l="0" r="0" t="0"/>
            <wp:docPr descr="A screenshot of a computer&#10;&#10;Description automatically generated" id="2120053993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7"/>
                    <a:srcRect b="51597" l="16755" r="49956" t="3899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4" cy="89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6. Дубликати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Проверяваме за дубликати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и установяваме, че няма.</w:t>
      </w:r>
    </w:p>
    <w:p w:rsidR="00000000" w:rsidDel="00000000" w:rsidP="00000000" w:rsidRDefault="00000000" w:rsidRPr="00000000" w14:paraId="00000066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274404" cy="4051007"/>
            <wp:effectExtent b="0" l="0" r="0" t="0"/>
            <wp:docPr descr="A screenshot of a computer&#10;&#10;Description automatically generated" id="2120053996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8"/>
                    <a:srcRect b="7700" l="16424" r="24162" t="24102"/>
                    <a:stretch>
                      <a:fillRect/>
                    </a:stretch>
                  </pic:blipFill>
                  <pic:spPr>
                    <a:xfrm>
                      <a:off x="0" y="0"/>
                      <a:ext cx="6274404" cy="4051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7. Безкрайни и NaN стойности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Последната проверка е за безкрайни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нечислени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стойности.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911417" cy="3060925"/>
            <wp:effectExtent b="0" l="0" r="0" t="0"/>
            <wp:docPr descr="A screenshot of a computer&#10;&#10;Description automatically generated" id="2120053995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9"/>
                    <a:srcRect b="11032" l="16313" r="31105" t="40565"/>
                    <a:stretch>
                      <a:fillRect/>
                    </a:stretch>
                  </pic:blipFill>
                  <pic:spPr>
                    <a:xfrm>
                      <a:off x="0" y="0"/>
                      <a:ext cx="5911417" cy="306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8. Изчистен и готов файл за анализ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Файлът се подготвя и подрежда за същинския анализ.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Представяне и визуализация на резултатите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3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Демографски анализ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Броят на участващите мъже е близо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пъти повече от този на жените.</w:t>
      </w:r>
    </w:p>
    <w:p w:rsidR="00000000" w:rsidDel="00000000" w:rsidP="00000000" w:rsidRDefault="00000000" w:rsidRPr="00000000" w14:paraId="0000006F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72468" cy="1141289"/>
            <wp:effectExtent b="0" l="0" r="0" t="0"/>
            <wp:docPr id="212005398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468" cy="1141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9. Демографско разделение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2625" cy="1947215"/>
            <wp:effectExtent b="0" l="0" r="0" t="0"/>
            <wp:docPr id="212005398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4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10. Демографско разделение (графично)</w:t>
      </w:r>
    </w:p>
    <w:p w:rsidR="00000000" w:rsidDel="00000000" w:rsidP="00000000" w:rsidRDefault="00000000" w:rsidRPr="00000000" w14:paraId="00000072">
      <w:pPr>
        <w:spacing w:after="200" w:line="240" w:lineRule="auto"/>
        <w:rPr>
          <w:rFonts w:ascii="Times New Roman" w:cs="Times New Roman" w:eastAsia="Times New Roman" w:hAnsi="Times New Roman"/>
          <w:color w:val="0e284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При възрастта на участниците се забелязва, че с най-голям процент е представена възрастовата група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30-34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 годишните, като второто място е с почти 2 пъти по-малко представители.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410" cy="1028700"/>
            <wp:effectExtent b="0" l="0" r="0" t="0"/>
            <wp:docPr id="212005398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11. Възрастово разделение</w:t>
      </w:r>
    </w:p>
    <w:p w:rsidR="00000000" w:rsidDel="00000000" w:rsidP="00000000" w:rsidRDefault="00000000" w:rsidRPr="00000000" w14:paraId="00000075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60410" cy="2120900"/>
            <wp:effectExtent b="0" l="0" r="0" t="0"/>
            <wp:docPr id="212005398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12. Възрастово разделение (графично)</w:t>
      </w:r>
    </w:p>
    <w:p w:rsidR="00000000" w:rsidDel="00000000" w:rsidP="00000000" w:rsidRDefault="00000000" w:rsidRPr="00000000" w14:paraId="00000077">
      <w:pPr>
        <w:spacing w:after="200" w:line="240" w:lineRule="auto"/>
        <w:rPr>
          <w:rFonts w:ascii="Times New Roman" w:cs="Times New Roman" w:eastAsia="Times New Roman" w:hAnsi="Times New Roman"/>
          <w:color w:val="0e284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Половото разпределение е очаквано за кампании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916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1178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, където мъжете са повече (а по-специално в случая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1178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, те са единствени представители). Изненадващо е разпределението при кампания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936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, където жените са с близо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⅕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 повече от мъжете.</w:t>
      </w:r>
    </w:p>
    <w:p w:rsidR="00000000" w:rsidDel="00000000" w:rsidP="00000000" w:rsidRDefault="00000000" w:rsidRPr="00000000" w14:paraId="00000078">
      <w:pPr>
        <w:spacing w:after="200" w:line="240" w:lineRule="auto"/>
        <w:rPr>
          <w:rFonts w:ascii="Times New Roman" w:cs="Times New Roman" w:eastAsia="Times New Roman" w:hAnsi="Times New Roman"/>
          <w:color w:val="0e284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</w:rPr>
        <w:drawing>
          <wp:inline distB="114300" distT="114300" distL="114300" distR="114300">
            <wp:extent cx="5760410" cy="1117600"/>
            <wp:effectExtent b="0" l="0" r="0" t="0"/>
            <wp:docPr id="212005398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13. Полово разпределение спрямо кампаниите</w:t>
      </w:r>
    </w:p>
    <w:p w:rsidR="00000000" w:rsidDel="00000000" w:rsidP="00000000" w:rsidRDefault="00000000" w:rsidRPr="00000000" w14:paraId="0000007A">
      <w:pPr>
        <w:spacing w:after="200" w:line="240" w:lineRule="auto"/>
        <w:rPr>
          <w:rFonts w:ascii="Times New Roman" w:cs="Times New Roman" w:eastAsia="Times New Roman" w:hAnsi="Times New Roman"/>
          <w:color w:val="0e284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</w:rPr>
        <w:drawing>
          <wp:inline distB="114300" distT="114300" distL="114300" distR="114300">
            <wp:extent cx="5760410" cy="2108200"/>
            <wp:effectExtent b="0" l="0" r="0" t="0"/>
            <wp:docPr id="212005397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14. Полово разпределение спрямо кампаниите (графично)</w:t>
      </w:r>
    </w:p>
    <w:p w:rsidR="00000000" w:rsidDel="00000000" w:rsidP="00000000" w:rsidRDefault="00000000" w:rsidRPr="00000000" w14:paraId="0000007C">
      <w:pPr>
        <w:spacing w:after="200" w:line="240" w:lineRule="auto"/>
        <w:rPr>
          <w:rFonts w:ascii="Times New Roman" w:cs="Times New Roman" w:eastAsia="Times New Roman" w:hAnsi="Times New Roman"/>
          <w:color w:val="0e284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При възрастовото разпределение няма сериозни изненади - демографската група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30-34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 години е водеща за 3-те кампании. Важно е да се отбележи, че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1178 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има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най-слаб досег с групата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45-49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 години, за които кампания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28"/>
          <w:szCs w:val="28"/>
          <w:rtl w:val="0"/>
        </w:rPr>
        <w:t xml:space="preserve">936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 е с най-голям интерес.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410" cy="1498600"/>
            <wp:effectExtent b="0" l="0" r="0" t="0"/>
            <wp:docPr id="212005398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15. Възрастово разпределение спрямо кампаниите</w:t>
      </w:r>
    </w:p>
    <w:p w:rsidR="00000000" w:rsidDel="00000000" w:rsidP="00000000" w:rsidRDefault="00000000" w:rsidRPr="00000000" w14:paraId="0000007F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60410" cy="2044700"/>
            <wp:effectExtent b="0" l="0" r="0" t="0"/>
            <wp:docPr id="212005398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16. Възрастово разпределение спрямо кампаниите (графично)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3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Анализ на ангажираността</w:t>
        <w:br w:type="textWrapping"/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3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Времеви анализ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Времевият анализ на dataset-а ни показва, че всичко записи се случват в рамките на ден.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410" cy="711200"/>
            <wp:effectExtent b="0" l="0" r="0" t="0"/>
            <wp:docPr id="212005397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</w:t>
      </w:r>
      <w:r w:rsidDel="00000000" w:rsidR="00000000" w:rsidRPr="00000000">
        <w:rPr>
          <w:i w:val="1"/>
          <w:color w:val="ff0000"/>
          <w:sz w:val="18"/>
          <w:szCs w:val="18"/>
          <w:rtl w:val="0"/>
        </w:rPr>
        <w:t xml:space="preserve">**.</w:t>
      </w: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 Времево разпределение</w:t>
      </w:r>
    </w:p>
    <w:p w:rsidR="00000000" w:rsidDel="00000000" w:rsidP="00000000" w:rsidRDefault="00000000" w:rsidRPr="00000000" w14:paraId="00000087">
      <w:pPr>
        <w:spacing w:after="200" w:line="240" w:lineRule="auto"/>
        <w:rPr>
          <w:rFonts w:ascii="Times New Roman" w:cs="Times New Roman" w:eastAsia="Times New Roman" w:hAnsi="Times New Roman"/>
          <w:color w:val="0e284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  <w:rtl w:val="0"/>
        </w:rPr>
        <w:t xml:space="preserve">Можем да проследим в какъв времеви период е продължила всяка една от кампаниите.</w:t>
      </w:r>
    </w:p>
    <w:p w:rsidR="00000000" w:rsidDel="00000000" w:rsidP="00000000" w:rsidRDefault="00000000" w:rsidRPr="00000000" w14:paraId="00000088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60410" cy="2425700"/>
            <wp:effectExtent b="0" l="0" r="0" t="0"/>
            <wp:docPr id="212005398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</w:t>
      </w:r>
      <w:r w:rsidDel="00000000" w:rsidR="00000000" w:rsidRPr="00000000">
        <w:rPr>
          <w:i w:val="1"/>
          <w:color w:val="ff0000"/>
          <w:sz w:val="18"/>
          <w:szCs w:val="18"/>
          <w:rtl w:val="0"/>
        </w:rPr>
        <w:t xml:space="preserve">**.</w:t>
      </w: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 Времево разпределение за кампаниите (по дни)</w:t>
      </w:r>
    </w:p>
    <w:p w:rsidR="00000000" w:rsidDel="00000000" w:rsidP="00000000" w:rsidRDefault="00000000" w:rsidRPr="00000000" w14:paraId="0000008A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60410" cy="2133600"/>
            <wp:effectExtent b="0" l="0" r="0" t="0"/>
            <wp:docPr id="212005398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</w:t>
      </w:r>
      <w:r w:rsidDel="00000000" w:rsidR="00000000" w:rsidRPr="00000000">
        <w:rPr>
          <w:i w:val="1"/>
          <w:color w:val="ff0000"/>
          <w:sz w:val="18"/>
          <w:szCs w:val="18"/>
          <w:rtl w:val="0"/>
        </w:rPr>
        <w:t xml:space="preserve">**.</w:t>
      </w: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 Времево разпределение за кампаниите по дни (графично)</w:t>
      </w:r>
    </w:p>
    <w:p w:rsidR="00000000" w:rsidDel="00000000" w:rsidP="00000000" w:rsidRDefault="00000000" w:rsidRPr="00000000" w14:paraId="0000008C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 и изводи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Сорс код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Предоставяме линк към GitHub: 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467886"/>
            <w:sz w:val="28"/>
            <w:szCs w:val="28"/>
            <w:u w:val="single"/>
            <w:rtl w:val="0"/>
          </w:rPr>
          <w:t xml:space="preserve">https://github.com/savina01/Analysis-of-Facebook-ad-campaign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Информационни източници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67886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https://www.webfx.com/blog/social-media/social-media-analysis/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67886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https://www.kaggle.com/datasets/madislemsalu/facebook-ad-campaign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34" w:type="default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2" w:subsetted="0"/>
    <w:embedBold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800" w:hanging="720"/>
      </w:pPr>
      <w:rPr/>
    </w:lvl>
    <w:lvl w:ilvl="2">
      <w:start w:val="1"/>
      <w:numFmt w:val="decimal"/>
      <w:lvlText w:val="%1.%2.%3."/>
      <w:lvlJc w:val="left"/>
      <w:pPr>
        <w:ind w:left="2520" w:hanging="720"/>
      </w:pPr>
      <w:rPr/>
    </w:lvl>
    <w:lvl w:ilvl="3">
      <w:start w:val="1"/>
      <w:numFmt w:val="decimal"/>
      <w:lvlText w:val="%1.%2.%3.%4."/>
      <w:lvlJc w:val="left"/>
      <w:pPr>
        <w:ind w:left="3600" w:hanging="1080"/>
      </w:pPr>
      <w:rPr/>
    </w:lvl>
    <w:lvl w:ilvl="4">
      <w:start w:val="1"/>
      <w:numFmt w:val="decimal"/>
      <w:lvlText w:val="%1.%2.%3.%4.%5."/>
      <w:lvlJc w:val="left"/>
      <w:pPr>
        <w:ind w:left="4320" w:hanging="1080"/>
      </w:pPr>
      <w:rPr/>
    </w:lvl>
    <w:lvl w:ilvl="5">
      <w:start w:val="1"/>
      <w:numFmt w:val="decimal"/>
      <w:lvlText w:val="%1.%2.%3.%4.%5.%6."/>
      <w:lvlJc w:val="left"/>
      <w:pPr>
        <w:ind w:left="5400" w:hanging="1440"/>
      </w:pPr>
      <w:rPr/>
    </w:lvl>
    <w:lvl w:ilvl="6">
      <w:start w:val="1"/>
      <w:numFmt w:val="decimal"/>
      <w:lvlText w:val="%1.%2.%3.%4.%5.%6.%7."/>
      <w:lvlJc w:val="left"/>
      <w:pPr>
        <w:ind w:left="6480" w:hanging="1800"/>
      </w:pPr>
      <w:rPr/>
    </w:lvl>
    <w:lvl w:ilvl="7">
      <w:start w:val="1"/>
      <w:numFmt w:val="decimal"/>
      <w:lvlText w:val="%1.%2.%3.%4.%5.%6.%7.%8."/>
      <w:lvlJc w:val="left"/>
      <w:pPr>
        <w:ind w:left="7200" w:hanging="1800"/>
      </w:pPr>
      <w:rPr/>
    </w:lvl>
    <w:lvl w:ilvl="8">
      <w:start w:val="1"/>
      <w:numFmt w:val="decimal"/>
      <w:lvlText w:val="%1.%2.%3.%4.%5.%6.%7.%8.%9."/>
      <w:lvlJc w:val="left"/>
      <w:pPr>
        <w:ind w:left="8280" w:hanging="21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bg-B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86329A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6329A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6329A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86329A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6329A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86329A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86329A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86329A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86329A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86329A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86329A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86329A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86329A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86329A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86329A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86329A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86329A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86329A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86329A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6329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86329A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6329A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86329A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86329A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86329A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86329A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86329A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6329A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86329A"/>
    <w:rPr>
      <w:b w:val="1"/>
      <w:bCs w:val="1"/>
      <w:smallCaps w:val="1"/>
      <w:color w:val="0f4761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6329A"/>
  </w:style>
  <w:style w:type="paragraph" w:styleId="Footer">
    <w:name w:val="footer"/>
    <w:basedOn w:val="Normal"/>
    <w:link w:val="FooterChar"/>
    <w:uiPriority w:val="99"/>
    <w:unhideWhenUsed w:val="1"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6329A"/>
  </w:style>
  <w:style w:type="character" w:styleId="Hyperlink">
    <w:name w:val="Hyperlink"/>
    <w:basedOn w:val="DefaultParagraphFont"/>
    <w:uiPriority w:val="99"/>
    <w:unhideWhenUsed w:val="1"/>
    <w:rsid w:val="005F64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F64D0"/>
    <w:rPr>
      <w:color w:val="605e5c"/>
      <w:shd w:color="auto" w:fill="e1dfdd" w:val="clear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5F64D0"/>
    <w:pPr>
      <w:spacing w:after="200" w:line="240" w:lineRule="auto"/>
    </w:pPr>
    <w:rPr>
      <w:i w:val="1"/>
      <w:iCs w:val="1"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E174DF"/>
    <w:rPr>
      <w:rFonts w:ascii="Times New Roman" w:cs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827CFB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827CFB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1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21.png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26" Type="http://schemas.openxmlformats.org/officeDocument/2006/relationships/image" Target="media/image14.png"/><Relationship Id="rId25" Type="http://schemas.openxmlformats.org/officeDocument/2006/relationships/image" Target="media/image17.png"/><Relationship Id="rId28" Type="http://schemas.openxmlformats.org/officeDocument/2006/relationships/image" Target="media/image10.png"/><Relationship Id="rId27" Type="http://schemas.openxmlformats.org/officeDocument/2006/relationships/image" Target="media/image1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2.png"/><Relationship Id="rId7" Type="http://schemas.openxmlformats.org/officeDocument/2006/relationships/customXml" Target="../customXML/item1.xml"/><Relationship Id="rId8" Type="http://schemas.openxmlformats.org/officeDocument/2006/relationships/image" Target="media/image18.png"/><Relationship Id="rId31" Type="http://schemas.openxmlformats.org/officeDocument/2006/relationships/hyperlink" Target="https://github.com/savina01/Analysis-of-Facebook-ad-campaign" TargetMode="External"/><Relationship Id="rId30" Type="http://schemas.openxmlformats.org/officeDocument/2006/relationships/image" Target="media/image23.png"/><Relationship Id="rId11" Type="http://schemas.openxmlformats.org/officeDocument/2006/relationships/hyperlink" Target="https://www.kaggle.com/datasets/madislemsalu/facebook-ad-campaign/data" TargetMode="External"/><Relationship Id="rId33" Type="http://schemas.openxmlformats.org/officeDocument/2006/relationships/hyperlink" Target="https://www.kaggle.com/datasets/madislemsalu/facebook-ad-campaign" TargetMode="External"/><Relationship Id="rId10" Type="http://schemas.openxmlformats.org/officeDocument/2006/relationships/image" Target="media/image20.png"/><Relationship Id="rId32" Type="http://schemas.openxmlformats.org/officeDocument/2006/relationships/hyperlink" Target="https://www.webfx.com/blog/social-media/social-media-analysis/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34" Type="http://schemas.openxmlformats.org/officeDocument/2006/relationships/footer" Target="footer1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19" Type="http://schemas.openxmlformats.org/officeDocument/2006/relationships/image" Target="media/image1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Play-regular.ttf"/><Relationship Id="rId3" Type="http://schemas.openxmlformats.org/officeDocument/2006/relationships/font" Target="fonts/Play-bold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mVpUMAOqAPDy/T+fmJxCEch7+w==">CgMxLjA4AHIhMU9ub1Z5SU1YRmZoa0NWaTlDU3ZaZ3hCMk5IVGhyQkN0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2024-11-02T13:56:00Z</dcterms:created>
  <dc:creator>Savina Valchanova</dc:creator>
</cp:coreProperties>
</file>