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36"/>
          <w:szCs w:val="36"/>
        </w:rPr>
      </w:pPr>
    </w:p>
    <w:p>
      <w:pPr>
        <w:spacing w:line="360" w:lineRule="auto"/>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patients in Srilanka</w:t>
      </w: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spacing w:line="360" w:lineRule="auto"/>
        <w:jc w:val="both"/>
        <w:rPr>
          <w:rFonts w:hint="default" w:ascii="Times New Roman" w:hAnsi="Times New Roman" w:cs="Times New Roman"/>
          <w:color w:val="0000FF"/>
          <w:sz w:val="72"/>
          <w:szCs w:val="72"/>
          <w:lang w:val="en-US"/>
        </w:rPr>
      </w:pPr>
    </w:p>
    <w:p>
      <w:pPr>
        <w:spacing w:line="360" w:lineRule="auto"/>
        <w:jc w:val="center"/>
        <w:rPr>
          <w:rFonts w:hint="default" w:ascii="Times New Roman" w:hAnsi="Times New Roman" w:cs="Times New Roman"/>
          <w:color w:val="0000FF"/>
          <w:sz w:val="72"/>
          <w:szCs w:val="72"/>
          <w:lang w:val="en-US"/>
        </w:rPr>
      </w:pPr>
    </w:p>
    <w:p>
      <w:pPr>
        <w:spacing w:line="360" w:lineRule="auto"/>
        <w:ind w:firstLine="600" w:firstLineChars="1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 (Malavige et al., Changing Epidemiology of Dengue in Sri Lanka—challenges for the future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 </w:t>
      </w:r>
      <w:r>
        <w:rPr>
          <w:rFonts w:hint="default" w:ascii="Times New Roman" w:hAnsi="Times New Roman" w:eastAsia="SimSun" w:cs="Times New Roman"/>
          <w:i w:val="0"/>
          <w:iCs w:val="0"/>
          <w:sz w:val="24"/>
          <w:szCs w:val="24"/>
        </w:rPr>
        <w:t>(Raafat et al., A review of Dengue diagnostics and implications for surveillance and Control 2019)</w:t>
      </w:r>
      <w:r>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t>.</w:t>
      </w: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Research Question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"What machine learning techniques can effectively predict or classify dengue fever cases among patients in Sri Lanka based on symptoms related data, and</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how do these models compare in terms of  metrices like accuracy, F1 score, recall,  and sensitivity?"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doctors, and other professionals. At that moment there is no specific machine learning application or system is available for patient to  detect the dengue by their own  smart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1: Review Existing Machine Learning Applications for Dengue Detection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3: Develop a User-Friendly Dengue Detection System</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Create a new machine learning-based dengue detection system tailored to patients' needs and suitable for use on their personal smart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4: Optimize Machine Learning Algorithms for Dengue Prediction</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Evaluate and compare various machine learning algorithms, such as binary logistic regression,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5: Validate the Performance of the Dengue Detection System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Thoroughly test and validate the developed dengue detection system using symptoms data .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 (Sri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 xml:space="preserve">uclear acid sequence-based amplification (NASBA), IgM and IgG seroconversion, PCR testing are used. But these tests have several disadvantages. for example  accuracy of results, cost, complexity, and takes lot of time to get the result etc </w:t>
      </w:r>
      <w:r>
        <w:rPr>
          <w:rFonts w:hint="default" w:ascii="Times New Roman" w:hAnsi="Times New Roman" w:eastAsia="SimSun" w:cs="Times New Roman"/>
          <w:i w:val="0"/>
          <w:iCs w:val="0"/>
          <w:sz w:val="24"/>
          <w:szCs w:val="24"/>
        </w:rPr>
        <w:t>(Wong et al., Diagnosis of severe dengue: Challenges, needs and opportunities 2020)</w:t>
      </w:r>
      <w:r>
        <w:rPr>
          <w:rFonts w:hint="default" w:ascii="Times New Roman" w:hAnsi="Times New Roman" w:eastAsia="Segoe UI" w:cs="Times New Roman"/>
          <w:b w:val="0"/>
          <w:bCs w:val="0"/>
          <w:i w:val="0"/>
          <w:iCs w:val="0"/>
          <w:color w:val="0D0D0D"/>
          <w:spacing w:val="0"/>
          <w:sz w:val="24"/>
          <w:szCs w:val="24"/>
          <w:shd w:val="clear" w:fill="FFFFFF"/>
          <w:lang w:val="en-US"/>
        </w:rPr>
        <w:t>. Based on these disadvantages different systems, and machine learning techniques  already created for  dengue detection. But now a days most of these created machine learning systems or applications, and normal application, and systems are created for assisting to doctors and healthcare professional to identify the patient has dengue or not.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bookmarkStart w:id="0" w:name="_GoBack"/>
      <w:bookmarkEnd w:id="0"/>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According to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is going to be implemented for patient by using decision tree, random forest, logistic regression algorithm while including the “grid_search cv” for finding the best parameters, “ensemble technique” ,  proper dataset and  other models parameter like random state.</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 xml:space="preserve">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emerged as the final model for dengue prediction. To make this model accessible for real-world use, we created a pickle file to store its parameters and import it into our application. With Flask framework, we seamlessly integrated this model into the bac kend,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or Normality testing, correlational analysis regression analysis,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Sample dataset :</w:t>
      </w:r>
      <w:r>
        <w:rPr>
          <w:rFonts w:hint="default" w:ascii="Times New Roman" w:hAnsi="Times New Roman" w:eastAsia="Times New Roman" w:cs="Times New Roman"/>
          <w:b w:val="0"/>
          <w:sz w:val="24"/>
          <w:szCs w:val="24"/>
          <w:u w:val="none"/>
          <w:rtl w:val="0"/>
          <w:lang w:val="en-US"/>
        </w:rPr>
        <w:t>DengueDataset</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Significant level (</w:t>
      </w:r>
      <w:r>
        <w:rPr>
          <w:rFonts w:ascii="Times New Roman" w:hAnsi="Times New Roman" w:eastAsia="Times New Roman" w:cs="Times New Roman"/>
          <w:b w:val="0"/>
          <w:i w:val="0"/>
          <w:smallCaps w:val="0"/>
          <w:color w:val="000000"/>
          <w:sz w:val="24"/>
          <w:szCs w:val="24"/>
          <w:highlight w:val="white"/>
          <w:rtl w:val="0"/>
        </w:rPr>
        <w:t>α) =</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0.05 (5%)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i w:val="0"/>
          <w:color w:val="000000"/>
          <w:sz w:val="24"/>
          <w:szCs w:val="24"/>
          <w:highlight w:val="white"/>
          <w:rtl w:val="0"/>
        </w:rPr>
        <w:t>C</w:t>
      </w:r>
      <w:r>
        <w:rPr>
          <w:rFonts w:ascii="Times New Roman" w:hAnsi="Times New Roman" w:eastAsia="Times New Roman" w:cs="Times New Roman"/>
          <w:b w:val="0"/>
          <w:i w:val="0"/>
          <w:smallCaps w:val="0"/>
          <w:color w:val="000000"/>
          <w:sz w:val="24"/>
          <w:szCs w:val="24"/>
          <w:highlight w:val="white"/>
          <w:rtl w:val="0"/>
        </w:rPr>
        <w:t>onfidence level = 0.95</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(95%)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H0 = Null Hypothesis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H1 = Alternative Hypothesis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posits that the prognosis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prognosis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obtained p-value of 2.2e-16 is significantly lower than the predetermined significance level (alpha) of 0.05. Consequently, we reject the null hypothesis and accept the alternative hypothesis. In simpler terms, this suggests that the prognosis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numPr>
          <w:ilvl w:val="0"/>
          <w:numId w:val="0"/>
        </w:numPr>
        <w:spacing w:line="360" w:lineRule="auto"/>
        <w:jc w:val="both"/>
        <w:rPr>
          <w:rFonts w:ascii="Segoe UI" w:hAnsi="Segoe UI" w:eastAsia="Segoe UI" w:cs="Segoe UI"/>
          <w:i w:val="0"/>
          <w:iCs w:val="0"/>
          <w:caps w:val="0"/>
          <w:color w:val="0D0D0D"/>
          <w:spacing w:val="0"/>
          <w:sz w:val="19"/>
          <w:szCs w:val="19"/>
          <w:shd w:val="clear" w:fill="FFFFFF"/>
        </w:rPr>
      </w:pP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the null hypothesis  states that the muscle_pain values are normally distributed. </w:t>
      </w: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Conversely, the alternative hypothesis  suggests that the muscle_pain values are not</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normally distributed.</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Above statistical tests yielded a p-value of 2.2e-16, indicating its significance compared to the chosen alpha level of 0.05. Consequently, we reject the null hypothesis and favor the alternative hypothesis. This indicates that the prognosis does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t>the null hypothesis proposes that the malaise values follow a normal distribution. Conversely, the alternative hypothesis suggests that the malaise values do not adhere to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 back_pain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back_pain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With a p-value of 2.2e-16, significantly lower than the alpha level of 0.05, we reject the null hypothesis and accept the alternative hypothesis from the test results. This indicates that malaise is not distributed normally.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asserts that the pain_behind_the_eyes values are normally distributed. Conversely, the alternative hypothesis suggests that the pain_behind_the_eyes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Based on the results of the three tests, the p-value obtained is 2.2e-16, indicating a significant deviation from the null hypothesis at the 0.05 alpha level. Consequently, we reject the null hypothesis and embrace the alternative hypothesis. In practical terms, this suggests that pain_behind_the_eyes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013710"/>
            <wp:effectExtent l="0" t="0" r="0" b="3810"/>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0137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 loss_of_appetite values follow a normal distribution. Conversely, the alternative hypothesis  suggests that the loss_of_appetite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p-value obtained is 2.2e-16, which is significantly lower than the predetermined alpha value of 0.05. Consequently, we reject the null hypothesis and accept the alternative hypothesis. This implies that loss_of_appetite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269430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26943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(H0): The distribution of nausea values follows a normal distribution. Alternative Hypothesis (H1): The distribution of nausea values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(H0) assumes that the headache values are normally distributed, Alternative hypothesis (H1) suggests that the headache values deviate from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tests conducted yielded a p-value of 2.2e-16, indicating a significant deviation from the null hypothesis at the 0.05 alpha level. Consequently, we reject the null hypothesis and accept the alternative hypothesis, suggesting that headache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Segoe UI" w:cs="Times New Roman"/>
          <w:i w:val="0"/>
          <w:iCs w:val="0"/>
          <w:caps w:val="0"/>
          <w:color w:val="0D0D0D"/>
          <w:spacing w:val="0"/>
          <w:sz w:val="24"/>
          <w:szCs w:val="24"/>
          <w:shd w:val="clear" w:fill="FFFFFF"/>
        </w:rPr>
        <w:t>the null hypothesis  posits that the distribution of high_fever values conforms to a normal distribution. Conversely, the alternative hypothesis suggests that the distribution of high_fever values deviates from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24"/>
      </w:pPr>
      <w:r>
        <w:t>窗体底端</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Null Hypothesis The skin_rash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Alternative Hypothesis  The skin_rash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suggests that the red_spots_over_body values are normally distributed, while the alternative hypothesis proposes that they are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performed on the dataset produced a p-value of 2.2e-16, indicating a substantial deviation from the null hypothesis with respect to the 0.05 alpha level. Consequently, rejecting the null hypothesis and embracing the alternative hypothesis is warranted. In essence, this implies that the variable "red_spots_over_body" does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ample fields = muscle_pain,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represent ῤ as the true population correlation coefficient between muscle_pain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null hypothesis asserts that there is no correlation  between muscle_pain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hint="default" w:ascii="Times New Roman" w:hAnsi="Times New Roman" w:cs="Times New Roman"/>
          <w:sz w:val="24"/>
          <w:szCs w:val="24"/>
        </w:rPr>
        <w:t>Conversely, the alternative hypothesis suggests that there exists a correlation  between muscle_pain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positive</w:t>
      </w:r>
      <w:r>
        <w:rPr>
          <w:rFonts w:ascii="Times New Roman" w:hAnsi="Times New Roman" w:eastAsia="Times New Roman" w:cs="Times New Roman"/>
          <w:b w:val="0"/>
          <w:sz w:val="24"/>
          <w:szCs w:val="24"/>
          <w:u w:val="none"/>
          <w:rtl w:val="0"/>
        </w:rPr>
        <w:t xml:space="preserve"> (direct)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there is no correlation  between malaise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exists a correlation  between malaise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Let's denote ῤ as the true population correlation coefficient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The null hypothesis states that there is no correlation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Conversely, the alternative hypothesis  posits that there is a correlation between back_pain and prognosis</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 ῤ represent the true population correlation coefficient between pain_behind_eyes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proposes that there is no correlation  between pain_behind_eyes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is a correlation between pain_behind_eyes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loss_of_appetite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posits that there is no correlation between loss_of_appetite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alternative hypothesis asserts that there exists a correlation between loss_of_appetite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denote the true population correlation coefficient between nausea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is no correlation  between nausea and prognosis</w:t>
      </w:r>
      <w:r>
        <w:rPr>
          <w:rFonts w:hint="default" w:ascii="Times New Roman" w:hAnsi="Times New Roman" w:cs="Times New Roman"/>
          <w:sz w:val="24"/>
          <w:szCs w:val="24"/>
          <w:lang w:val="en-US"/>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nausea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denote ῤ as the true population correlation coefficient between headache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there is no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alternative hypothesis  suggests that there is a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ull hypothesis  asserts that there is no correlation  between high_fever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 xml:space="preserve">he null hypothesis suggests that there is no correlation  between skin_rash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Conversely, 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proposes that there exists a correlation  between skin_rash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red_spots_over_body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 posits that there is no correlation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between red_spots_over_body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exists a correlation between red_spots_over_body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815330" cy="5381625"/>
            <wp:effectExtent l="0" t="0" r="6350" b="1333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815330" cy="53816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 (Lukasczyk et al., An empirical study of Automated Unit Test Generation for Python 2023). This Unit testing has three main types</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 (Ehmer &amp; Khan, A comparative study of white box, black box and grey box testing techniques 2019)</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 (Ehmer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 (Ehmer &amp; Khan, A comparative study of white box, black box and grey box testing techniques 2019)</w:t>
      </w:r>
    </w:p>
    <w:p>
      <w:pPr>
        <w:numPr>
          <w:ilvl w:val="0"/>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like test case 3, that test cases are fails. The reasons of the test cases are  fail is assertion error throw.</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symptoms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doing the correlational coefficiency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Sample UI images</w:t>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91200" cy="3251200"/>
            <wp:effectExtent l="0" t="0" r="0" b="10160"/>
            <wp:docPr id="34" name="Picture 34"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ample-UI1"/>
                    <pic:cNvPicPr>
                      <a:picLocks noChangeAspect="1"/>
                    </pic:cNvPicPr>
                  </pic:nvPicPr>
                  <pic:blipFill>
                    <a:blip r:embed="rId61"/>
                    <a:stretch>
                      <a:fillRect/>
                    </a:stretch>
                  </pic:blipFill>
                  <pic:spPr>
                    <a:xfrm>
                      <a:off x="0" y="0"/>
                      <a:ext cx="5791200" cy="3251200"/>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390515" cy="3126105"/>
            <wp:effectExtent l="0" t="0" r="4445" b="13335"/>
            <wp:docPr id="23" name="Picture 23"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pleUI2"/>
                    <pic:cNvPicPr>
                      <a:picLocks noChangeAspect="1"/>
                    </pic:cNvPicPr>
                  </pic:nvPicPr>
                  <pic:blipFill>
                    <a:blip r:embed="rId62"/>
                    <a:stretch>
                      <a:fillRect/>
                    </a:stretch>
                  </pic:blipFill>
                  <pic:spPr>
                    <a:xfrm>
                      <a:off x="0" y="0"/>
                      <a:ext cx="5390515" cy="312610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08650" cy="3096895"/>
            <wp:effectExtent l="0" t="0" r="6350" b="12065"/>
            <wp:docPr id="48" name="Picture 48" descr="Samle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mleUI3"/>
                    <pic:cNvPicPr>
                      <a:picLocks noChangeAspect="1"/>
                    </pic:cNvPicPr>
                  </pic:nvPicPr>
                  <pic:blipFill>
                    <a:blip r:embed="rId63"/>
                    <a:stretch>
                      <a:fillRect/>
                    </a:stretch>
                  </pic:blipFill>
                  <pic:spPr>
                    <a:xfrm>
                      <a:off x="0" y="0"/>
                      <a:ext cx="5708650" cy="309689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spacing w:line="360" w:lineRule="auto"/>
        <w:ind w:left="567" w:hanging="567"/>
      </w:pPr>
      <w:r>
        <w:t xml:space="preserve">Malavige, G.N. </w:t>
      </w:r>
      <w:r>
        <w:rPr>
          <w:i/>
          <w:iCs/>
        </w:rPr>
        <w:t>et al.</w:t>
      </w:r>
      <w:r>
        <w:t xml:space="preserve"> (2021) ‘Changing Epidemiology of Dengue in Sri Lanka—challenges for the future’, </w:t>
      </w:r>
      <w:r>
        <w:rPr>
          <w:i/>
          <w:iCs/>
        </w:rPr>
        <w:t>PLOS Neglected Tropical Diseases</w:t>
      </w:r>
      <w:r>
        <w:t xml:space="preserve">, 15(8). doi:10.1371/journal.pntd.0009624. </w:t>
      </w:r>
    </w:p>
    <w:p>
      <w:pPr>
        <w:pStyle w:val="7"/>
        <w:keepNext w:val="0"/>
        <w:keepLines w:val="0"/>
        <w:widowControl/>
        <w:suppressLineNumbers w:val="0"/>
        <w:spacing w:line="360" w:lineRule="auto"/>
        <w:ind w:left="567" w:hanging="567"/>
      </w:pPr>
      <w:r>
        <w:t xml:space="preserve">Raafat, N., Blacksell, S.D. and Maude, R.J. (2019) ‘A review of Dengue diagnostics and implications for surveillance and Control’, </w:t>
      </w:r>
      <w:r>
        <w:rPr>
          <w:i/>
          <w:iCs/>
        </w:rPr>
        <w:t>Transactions of The Royal Society of Tropical Medicine and Hygiene</w:t>
      </w:r>
      <w:r>
        <w:t xml:space="preserve">, 113(11), pp. 653–660. doi:10.1093/trstmh/trz068. </w:t>
      </w:r>
    </w:p>
    <w:p>
      <w:pPr>
        <w:pStyle w:val="7"/>
        <w:keepNext w:val="0"/>
        <w:keepLines w:val="0"/>
        <w:widowControl/>
        <w:suppressLineNumbers w:val="0"/>
        <w:spacing w:line="360" w:lineRule="auto"/>
        <w:ind w:left="567" w:hanging="567"/>
        <w:rPr>
          <w:rFonts w:hint="default"/>
          <w:lang w:val="en-US"/>
        </w:rPr>
      </w:pPr>
      <w:r>
        <w:t xml:space="preserve">Saturi, S. (2020a)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spacing w:line="360" w:lineRule="auto"/>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spacing w:line="360" w:lineRule="auto"/>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spacing w:line="360" w:lineRule="auto"/>
        <w:ind w:left="567" w:hanging="567"/>
      </w:pPr>
      <w:r>
        <w:t xml:space="preserve">Wong, P.-F., Wong, L.-P. and AbuBakar, S. (2020) ‘Diagnosis of severe dengue: Challenges, needs and opportunities’, </w:t>
      </w:r>
      <w:r>
        <w:rPr>
          <w:i/>
          <w:iCs/>
        </w:rPr>
        <w:t>Journal of Infection and Public Health</w:t>
      </w:r>
      <w:r>
        <w:t xml:space="preserve">, 13(2), pp. 193–198. doi:10.1016/j.jiph.2019.07.012. </w:t>
      </w:r>
    </w:p>
    <w:p>
      <w:pPr>
        <w:pStyle w:val="7"/>
        <w:keepNext w:val="0"/>
        <w:keepLines w:val="0"/>
        <w:widowControl/>
        <w:suppressLineNumbers w:val="0"/>
        <w:spacing w:line="360" w:lineRule="auto"/>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spacing w:line="360" w:lineRule="auto"/>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spacing w:line="360" w:lineRule="auto"/>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spacing w:line="360" w:lineRule="auto"/>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spacing w:line="360" w:lineRule="auto"/>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spacing w:line="360" w:lineRule="auto"/>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spacing w:line="360" w:lineRule="auto"/>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spacing w:line="360" w:lineRule="auto"/>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spacing w:line="360" w:lineRule="auto"/>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spacing w:line="360" w:lineRule="auto"/>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spacing w:line="360" w:lineRule="auto"/>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spacing w:line="360" w:lineRule="auto"/>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spacing w:line="360" w:lineRule="auto"/>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spacing w:line="360" w:lineRule="auto"/>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spacing w:line="360" w:lineRule="auto"/>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spacing w:line="360" w:lineRule="auto"/>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spacing w:line="360" w:lineRule="auto"/>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spacing w:line="360" w:lineRule="auto"/>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spacing w:line="360" w:lineRule="auto"/>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spacing w:line="360" w:lineRule="auto"/>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spacing w:line="360" w:lineRule="auto"/>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spacing w:line="360" w:lineRule="auto"/>
        <w:ind w:left="567" w:hanging="567"/>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6">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0F8B4070"/>
    <w:rsid w:val="108E5118"/>
    <w:rsid w:val="12F31A38"/>
    <w:rsid w:val="135D5FC2"/>
    <w:rsid w:val="13AF13FA"/>
    <w:rsid w:val="15B62C49"/>
    <w:rsid w:val="16BB48D7"/>
    <w:rsid w:val="17182B03"/>
    <w:rsid w:val="17C031B1"/>
    <w:rsid w:val="18796A29"/>
    <w:rsid w:val="190B2EB8"/>
    <w:rsid w:val="1BE428BE"/>
    <w:rsid w:val="1BEF37CE"/>
    <w:rsid w:val="1DC43CB7"/>
    <w:rsid w:val="1DD86B05"/>
    <w:rsid w:val="1DFD6618"/>
    <w:rsid w:val="1EB86E6F"/>
    <w:rsid w:val="1FBB55BA"/>
    <w:rsid w:val="21B86015"/>
    <w:rsid w:val="21E36EE3"/>
    <w:rsid w:val="22C02541"/>
    <w:rsid w:val="24B357BD"/>
    <w:rsid w:val="24E60A6E"/>
    <w:rsid w:val="253F062B"/>
    <w:rsid w:val="256E6B21"/>
    <w:rsid w:val="2EE43A65"/>
    <w:rsid w:val="2F0D2E4F"/>
    <w:rsid w:val="303248A1"/>
    <w:rsid w:val="31974BCE"/>
    <w:rsid w:val="31C3379C"/>
    <w:rsid w:val="33270ADF"/>
    <w:rsid w:val="33DB0966"/>
    <w:rsid w:val="343E5A0C"/>
    <w:rsid w:val="357641C3"/>
    <w:rsid w:val="37760CF6"/>
    <w:rsid w:val="3BF15BB8"/>
    <w:rsid w:val="3C710F6F"/>
    <w:rsid w:val="3CD95798"/>
    <w:rsid w:val="3CE97802"/>
    <w:rsid w:val="3DB07174"/>
    <w:rsid w:val="44AF00C2"/>
    <w:rsid w:val="45275804"/>
    <w:rsid w:val="470E304C"/>
    <w:rsid w:val="495B1C61"/>
    <w:rsid w:val="4D0C2F0A"/>
    <w:rsid w:val="4D9B61E3"/>
    <w:rsid w:val="4E735761"/>
    <w:rsid w:val="50261D34"/>
    <w:rsid w:val="52A94A38"/>
    <w:rsid w:val="52C051D0"/>
    <w:rsid w:val="54157FCE"/>
    <w:rsid w:val="54602924"/>
    <w:rsid w:val="57CA293E"/>
    <w:rsid w:val="5CFB145F"/>
    <w:rsid w:val="5E435754"/>
    <w:rsid w:val="5F86297D"/>
    <w:rsid w:val="60407994"/>
    <w:rsid w:val="611E546E"/>
    <w:rsid w:val="659F4626"/>
    <w:rsid w:val="66770CAA"/>
    <w:rsid w:val="67B85CED"/>
    <w:rsid w:val="68414F3F"/>
    <w:rsid w:val="686C45DD"/>
    <w:rsid w:val="69021238"/>
    <w:rsid w:val="69A17496"/>
    <w:rsid w:val="6A6E6CDA"/>
    <w:rsid w:val="6B3959F5"/>
    <w:rsid w:val="6BB40F56"/>
    <w:rsid w:val="6D67600A"/>
    <w:rsid w:val="6E4A32DB"/>
    <w:rsid w:val="6F940713"/>
    <w:rsid w:val="70D84C79"/>
    <w:rsid w:val="71633397"/>
    <w:rsid w:val="72A823A9"/>
    <w:rsid w:val="72B94E73"/>
    <w:rsid w:val="72C7664E"/>
    <w:rsid w:val="72CF52A0"/>
    <w:rsid w:val="73240B3E"/>
    <w:rsid w:val="75A94489"/>
    <w:rsid w:val="77530553"/>
    <w:rsid w:val="77A93920"/>
    <w:rsid w:val="795E2C97"/>
    <w:rsid w:val="7B426F6C"/>
    <w:rsid w:val="7CC23F2B"/>
    <w:rsid w:val="7E0C202F"/>
    <w:rsid w:val="7E1E1500"/>
    <w:rsid w:val="7FC75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qFormat/>
    <w:uiPriority w:val="0"/>
    <w:pPr>
      <w:pBdr>
        <w:top w:val="single" w:color="auto" w:sz="6" w:space="1"/>
      </w:pBdr>
      <w:jc w:val="center"/>
    </w:pPr>
    <w:rPr>
      <w:rFonts w:ascii="Arial" w:eastAsia="SimSun"/>
      <w:vanish/>
      <w:sz w:val="16"/>
    </w:rPr>
  </w:style>
  <w:style w:type="paragraph" w:customStyle="1" w:styleId="13">
    <w:name w:val="_Style 10"/>
    <w:basedOn w:val="1"/>
    <w:next w:val="1"/>
    <w:qFormat/>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qFormat/>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qFormat/>
    <w:uiPriority w:val="0"/>
    <w:pPr>
      <w:pBdr>
        <w:bottom w:val="single" w:color="auto" w:sz="6" w:space="1"/>
      </w:pBdr>
      <w:jc w:val="center"/>
    </w:pPr>
    <w:rPr>
      <w:rFonts w:ascii="Arial" w:eastAsia="SimSun"/>
      <w:vanish/>
      <w:sz w:val="16"/>
    </w:rPr>
  </w:style>
  <w:style w:type="paragraph" w:customStyle="1" w:styleId="18">
    <w:name w:val="_Style 17"/>
    <w:basedOn w:val="1"/>
    <w:next w:val="1"/>
    <w:qFormat/>
    <w:uiPriority w:val="0"/>
    <w:pPr>
      <w:pBdr>
        <w:top w:val="single" w:color="auto" w:sz="6" w:space="1"/>
      </w:pBdr>
      <w:jc w:val="center"/>
    </w:pPr>
    <w:rPr>
      <w:rFonts w:ascii="Arial" w:eastAsia="SimSun"/>
      <w:vanish/>
      <w:sz w:val="16"/>
    </w:rPr>
  </w:style>
  <w:style w:type="paragraph" w:customStyle="1" w:styleId="19">
    <w:name w:val="_Style 18"/>
    <w:basedOn w:val="1"/>
    <w:next w:val="1"/>
    <w:qFormat/>
    <w:uiPriority w:val="0"/>
    <w:pPr>
      <w:pBdr>
        <w:bottom w:val="single" w:color="auto" w:sz="6" w:space="1"/>
      </w:pBdr>
      <w:jc w:val="center"/>
    </w:pPr>
    <w:rPr>
      <w:rFonts w:ascii="Arial" w:eastAsia="SimSun"/>
      <w:vanish/>
      <w:sz w:val="16"/>
    </w:rPr>
  </w:style>
  <w:style w:type="paragraph" w:customStyle="1" w:styleId="20">
    <w:name w:val="_Style 19"/>
    <w:basedOn w:val="1"/>
    <w:next w:val="1"/>
    <w:qFormat/>
    <w:uiPriority w:val="0"/>
    <w:pPr>
      <w:pBdr>
        <w:top w:val="single" w:color="auto" w:sz="6" w:space="1"/>
      </w:pBdr>
      <w:jc w:val="center"/>
    </w:pPr>
    <w:rPr>
      <w:rFonts w:ascii="Arial" w:eastAsia="SimSun"/>
      <w:vanish/>
      <w:sz w:val="16"/>
    </w:rPr>
  </w:style>
  <w:style w:type="paragraph" w:customStyle="1" w:styleId="21">
    <w:name w:val="_Style 20"/>
    <w:basedOn w:val="1"/>
    <w:next w:val="1"/>
    <w:uiPriority w:val="0"/>
    <w:pPr>
      <w:pBdr>
        <w:bottom w:val="single" w:color="auto" w:sz="6" w:space="1"/>
      </w:pBdr>
      <w:jc w:val="center"/>
    </w:pPr>
    <w:rPr>
      <w:rFonts w:ascii="Arial" w:eastAsia="SimSun"/>
      <w:vanish/>
      <w:sz w:val="16"/>
    </w:rPr>
  </w:style>
  <w:style w:type="paragraph" w:customStyle="1" w:styleId="22">
    <w:name w:val="_Style 21"/>
    <w:basedOn w:val="1"/>
    <w:next w:val="1"/>
    <w:qFormat/>
    <w:uiPriority w:val="0"/>
    <w:pPr>
      <w:pBdr>
        <w:top w:val="single" w:color="auto" w:sz="6" w:space="1"/>
      </w:pBdr>
      <w:jc w:val="center"/>
    </w:pPr>
    <w:rPr>
      <w:rFonts w:ascii="Arial" w:eastAsia="SimSun"/>
      <w:vanish/>
      <w:sz w:val="16"/>
    </w:rPr>
  </w:style>
  <w:style w:type="paragraph" w:customStyle="1" w:styleId="23">
    <w:name w:val="_Style 22"/>
    <w:basedOn w:val="1"/>
    <w:next w:val="1"/>
    <w:uiPriority w:val="0"/>
    <w:pPr>
      <w:pBdr>
        <w:bottom w:val="single" w:color="auto" w:sz="6" w:space="1"/>
      </w:pBdr>
      <w:jc w:val="center"/>
    </w:pPr>
    <w:rPr>
      <w:rFonts w:ascii="Arial" w:eastAsia="SimSun"/>
      <w:vanish/>
      <w:sz w:val="16"/>
    </w:rPr>
  </w:style>
  <w:style w:type="paragraph" w:customStyle="1" w:styleId="24">
    <w:name w:val="_Style 2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2024-04-25T00:36:13Z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