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2" w:name="dissertation-preprocessing-documentation"/>
    <w:p>
      <w:pPr>
        <w:pStyle w:val="Heading1"/>
      </w:pPr>
      <w:r>
        <w:t xml:space="preserve">Dissertation Preprocessing Documentation</w:t>
      </w:r>
    </w:p>
    <w:p>
      <w:pPr>
        <w:pStyle w:val="FirstParagraph"/>
      </w:pPr>
      <w:r>
        <w:rPr>
          <w:bCs/>
          <w:b/>
        </w:rPr>
        <w:t xml:space="preserve">Project</w:t>
      </w:r>
      <w:r>
        <w:t xml:space="preserve">: Adaptive Multimodal Machine Learning for Diabetic Retinopathy Progression Prediction</w:t>
      </w:r>
      <w:r>
        <w:t xml:space="preserve"> </w:t>
      </w:r>
      <w:r>
        <w:rPr>
          <w:bCs/>
          <w:b/>
        </w:rPr>
        <w:t xml:space="preserve">Institution</w:t>
      </w:r>
      <w:r>
        <w:t xml:space="preserve">: University of Bath</w:t>
      </w:r>
      <w:r>
        <w:t xml:space="preserve"> </w:t>
      </w:r>
      <w:r>
        <w:rPr>
          <w:bCs/>
          <w:b/>
        </w:rPr>
        <w:t xml:space="preserve">Submission deadline</w:t>
      </w:r>
      <w:r>
        <w:t xml:space="preserve">: August 2026</w:t>
      </w:r>
      <w:r>
        <w:t xml:space="preserve"> </w:t>
      </w:r>
      <w:r>
        <w:rPr>
          <w:bCs/>
          <w:b/>
        </w:rPr>
        <w:t xml:space="preserve">Document version</w:t>
      </w:r>
      <w:r>
        <w:t xml:space="preserve">: Final preprocessing state, 27 April 2026</w:t>
      </w:r>
    </w:p>
    <w:p>
      <w:pPr>
        <w:pStyle w:val="BodyText"/>
      </w:pPr>
      <w:r>
        <w:t xml:space="preserve">This document captures the complete preprocessing pipeline development for the OLIVES and EyePACS datasets, including data structure analysis, methodological decisions, bug fixes, and open methodological questions to resolve before downstream training. It is intended as a self-contained reference for understanding the preprocessing methodology and the rationale behind key design choices.</w:t>
      </w:r>
    </w:p>
    <w:p>
      <w:pPr>
        <w:pStyle w:val="BodyText"/>
      </w:pPr>
      <w:r>
        <w:rPr>
          <w:bCs/>
          <w:b/>
        </w:rPr>
        <w:t xml:space="preserve">Companion document</w:t>
      </w:r>
      <w:r>
        <w:t xml:space="preserve">: see</w:t>
      </w:r>
      <w:r>
        <w:t xml:space="preserve"> </w:t>
      </w:r>
      <w:r>
        <w:rPr>
          <w:rStyle w:val="VerbatimChar"/>
        </w:rPr>
        <w:t xml:space="preserve">docs/METHODOLOGY.md</w:t>
      </w:r>
      <w:r>
        <w:t xml:space="preserve"> </w:t>
      </w:r>
      <w:r>
        <w:t xml:space="preserve">for the four-phase project methodology (distributional validation, model development, uncertainty quantification, evaluation) that this preprocessing pipeline supports. The methodology document explains</w:t>
      </w:r>
      <w:r>
        <w:t xml:space="preserve"> </w:t>
      </w:r>
      <w:r>
        <w:rPr>
          <w:iCs/>
          <w:i/>
        </w:rPr>
        <w:t xml:space="preserve">what</w:t>
      </w:r>
      <w:r>
        <w:t xml:space="preserve"> </w:t>
      </w:r>
      <w:r>
        <w:t xml:space="preserve">the project does; this document explains</w:t>
      </w:r>
      <w:r>
        <w:t xml:space="preserve"> </w:t>
      </w:r>
      <w:r>
        <w:rPr>
          <w:iCs/>
          <w:i/>
        </w:rPr>
        <w:t xml:space="preserve">how the data was prepared</w:t>
      </w:r>
      <w:r>
        <w:t xml:space="preserve"> </w:t>
      </w:r>
      <w:r>
        <w:t xml:space="preserve">for it.</w:t>
      </w:r>
    </w:p>
    <w:p>
      <w:r>
        <w:pict>
          <v:rect style="width:0;height:1.5pt" o:hralign="center" o:hrstd="t" o:hr="t"/>
        </w:pict>
      </w:r>
    </w:p>
    <w:bookmarkStart w:id="22" w:name="X5dc85a2e843b4d63713ea5b3ca5e50e2f4052f6"/>
    <w:p>
      <w:pPr>
        <w:pStyle w:val="Heading2"/>
      </w:pPr>
      <w:r>
        <w:t xml:space="preserve">1. Project context and methodological framing</w:t>
      </w:r>
    </w:p>
    <w:bookmarkStart w:id="20" w:name="two-methodological-pillars"/>
    <w:p>
      <w:pPr>
        <w:pStyle w:val="Heading3"/>
      </w:pPr>
      <w:r>
        <w:t xml:space="preserve">1.1 Two methodological pillars</w:t>
      </w:r>
    </w:p>
    <w:p>
      <w:pPr>
        <w:pStyle w:val="FirstParagraph"/>
      </w:pPr>
      <w:r>
        <w:t xml:space="preserve">The dissertation rests on two methodological pillars:</w:t>
      </w:r>
    </w:p>
    <w:p>
      <w:pPr>
        <w:numPr>
          <w:ilvl w:val="0"/>
          <w:numId w:val="1001"/>
        </w:numPr>
        <w:pStyle w:val="Compact"/>
      </w:pPr>
      <w:r>
        <w:rPr>
          <w:bCs/>
          <w:b/>
        </w:rPr>
        <w:t xml:space="preserve">Longitudinal prognosis</w:t>
      </w:r>
      <w:r>
        <w:t xml:space="preserve">: predict disease progression over time using sequential visits per patient. Requires per-visit continuous outcome measurements (e.g. visual acuity, central subfield thickness).</w:t>
      </w:r>
    </w:p>
    <w:p>
      <w:pPr>
        <w:numPr>
          <w:ilvl w:val="0"/>
          <w:numId w:val="1001"/>
        </w:numPr>
        <w:pStyle w:val="Compact"/>
      </w:pPr>
      <w:r>
        <w:rPr>
          <w:bCs/>
          <w:b/>
        </w:rPr>
        <w:t xml:space="preserve">Cross-modality knowledge transfer</w:t>
      </w:r>
      <w:r>
        <w:t xml:space="preserve">: use a shared encoder that projects two distinct fundus datasets (EyePACS and OLIVES) into a joint latent space, with contrastive alignment via cosine similarity. The encoder learns features generalisable across acquisition equipment and patient populations.</w:t>
      </w:r>
    </w:p>
    <w:p>
      <w:pPr>
        <w:pStyle w:val="FirstParagraph"/>
      </w:pPr>
      <w:r>
        <w:t xml:space="preserve">The architecture has dual output heads: a</w:t>
      </w:r>
      <w:r>
        <w:t xml:space="preserve"> </w:t>
      </w:r>
      <w:r>
        <w:rPr>
          <w:bCs/>
          <w:b/>
        </w:rPr>
        <w:t xml:space="preserve">softmax classifier</w:t>
      </w:r>
      <w:r>
        <w:t xml:space="preserve"> </w:t>
      </w:r>
      <w:r>
        <w:t xml:space="preserve">and an</w:t>
      </w:r>
      <w:r>
        <w:t xml:space="preserve"> </w:t>
      </w:r>
      <w:r>
        <w:rPr>
          <w:bCs/>
          <w:b/>
        </w:rPr>
        <w:t xml:space="preserve">FCN regressor</w:t>
      </w:r>
      <w:r>
        <w:t xml:space="preserve">.</w:t>
      </w:r>
    </w:p>
    <w:bookmarkEnd w:id="20"/>
    <w:bookmarkStart w:id="21" w:name="the-missing-modalities-framing"/>
    <w:p>
      <w:pPr>
        <w:pStyle w:val="Heading3"/>
      </w:pPr>
      <w:r>
        <w:t xml:space="preserve">1.2 The</w:t>
      </w:r>
      <w:r>
        <w:t xml:space="preserve"> </w:t>
      </w:r>
      <w:r>
        <w:t xml:space="preserve">“</w:t>
      </w:r>
      <w:r>
        <w:t xml:space="preserve">missing modalities</w:t>
      </w:r>
      <w:r>
        <w:t xml:space="preserve">”</w:t>
      </w:r>
      <w:r>
        <w:t xml:space="preserve"> </w:t>
      </w:r>
      <w:r>
        <w:t xml:space="preserve">framing</w:t>
      </w:r>
    </w:p>
    <w:p>
      <w:pPr>
        <w:pStyle w:val="FirstParagraph"/>
      </w:pPr>
      <w:r>
        <w:t xml:space="preserve">Existing multimodal fusion papers in retinal imaging assume all modalities are available for every sample. This dissertation explicitly handles</w:t>
      </w:r>
      <w:r>
        <w:t xml:space="preserve"> </w:t>
      </w:r>
      <w:r>
        <w:rPr>
          <w:bCs/>
          <w:b/>
        </w:rPr>
        <w:t xml:space="preserve">missing modalities as a first-class constraint</w:t>
      </w:r>
      <w:r>
        <w:t xml:space="preserve">, which is more representative of real-world clinical deployment where some patients may have only fundus, others only OCT, others both, etc.</w:t>
      </w:r>
    </w:p>
    <w:p>
      <w:pPr>
        <w:pStyle w:val="BodyText"/>
      </w:pPr>
      <w:r>
        <w:t xml:space="preserve">This framing turns out to be more concrete than originally anticipated: the OLIVES dataset itself exhibits real missingness across labels (clinical, biomarker), making it an authentic testbed for the architectural choice rather than requiring synthetic missingness.</w:t>
      </w:r>
    </w:p>
    <w:p>
      <w:r>
        <w:pict>
          <v:rect style="width:0;height:1.5pt" o:hralign="center" o:hrstd="t" o:hr="t"/>
        </w:pict>
      </w:r>
    </w:p>
    <w:bookmarkEnd w:id="21"/>
    <w:bookmarkEnd w:id="22"/>
    <w:bookmarkStart w:id="31" w:name="datasets"/>
    <w:p>
      <w:pPr>
        <w:pStyle w:val="Heading2"/>
      </w:pPr>
      <w:r>
        <w:t xml:space="preserve">2. Datasets</w:t>
      </w:r>
    </w:p>
    <w:bookmarkStart w:id="25" w:name="eyepacs"/>
    <w:p>
      <w:pPr>
        <w:pStyle w:val="Heading3"/>
      </w:pPr>
      <w:r>
        <w:t xml:space="preserve">2.1 EyePACS</w:t>
      </w:r>
    </w:p>
    <w:p>
      <w:pPr>
        <w:pStyle w:val="FirstParagraph"/>
      </w:pPr>
      <w:r>
        <w:rPr>
          <w:bCs/>
          <w:b/>
        </w:rPr>
        <w:t xml:space="preserve">Source</w:t>
      </w:r>
      <w:r>
        <w:t xml:space="preserve">: HuggingFace Hub (used for cross-sectional DR severity classification pretraining)</w:t>
      </w:r>
      <w:r>
        <w:t xml:space="preserve"> </w:t>
      </w:r>
      <w:r>
        <w:rPr>
          <w:bCs/>
          <w:b/>
        </w:rPr>
        <w:t xml:space="preserve">Size</w:t>
      </w:r>
      <w:r>
        <w:t xml:space="preserve">: 35,108 fundus images</w:t>
      </w:r>
      <w:r>
        <w:t xml:space="preserve"> </w:t>
      </w:r>
      <w:r>
        <w:rPr>
          <w:bCs/>
          <w:b/>
        </w:rPr>
        <w:t xml:space="preserve">Labels</w:t>
      </w:r>
      <w:r>
        <w:t xml:space="preserve">: 5-class DR severity grading (clinically standard)</w:t>
      </w:r>
      <w:r>
        <w:t xml:space="preserve"> </w:t>
      </w:r>
      <w:r>
        <w:rPr>
          <w:bCs/>
          <w:b/>
        </w:rPr>
        <w:t xml:space="preserve">Role</w:t>
      </w:r>
      <w:r>
        <w:t xml:space="preserve">: Pretrains the shared encoder for DR feature learning, then transfers to OLIVES via cross-dataset contrastive alignment.</w:t>
      </w:r>
    </w:p>
    <w:bookmarkStart w:id="23" w:name="eyepacs-class-distribution"/>
    <w:p>
      <w:pPr>
        <w:pStyle w:val="Heading4"/>
      </w:pPr>
      <w:r>
        <w:t xml:space="preserve">2.1.1 EyePACS class distribution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DR Grade</w:t>
            </w:r>
          </w:p>
        </w:tc>
        <w:tc>
          <w:tcPr/>
          <w:p>
            <w:pPr>
              <w:pStyle w:val="Compact"/>
              <w:jc w:val="left"/>
            </w:pPr>
            <w:r>
              <w:t xml:space="preserve">Class label</w:t>
            </w:r>
          </w:p>
        </w:tc>
        <w:tc>
          <w:tcPr/>
          <w:p>
            <w:pPr>
              <w:pStyle w:val="Compact"/>
              <w:jc w:val="left"/>
            </w:pPr>
            <w:r>
              <w:t xml:space="preserve">Count</w:t>
            </w:r>
          </w:p>
        </w:tc>
        <w:tc>
          <w:tcPr/>
          <w:p>
            <w:pPr>
              <w:pStyle w:val="Compact"/>
              <w:jc w:val="left"/>
            </w:pPr>
            <w:r>
              <w:t xml:space="preserve">%</w:t>
            </w:r>
          </w:p>
        </w:tc>
      </w:tr>
      <w:tr>
        <w:tc>
          <w:tcPr/>
          <w:p>
            <w:pPr>
              <w:pStyle w:val="Compact"/>
              <w:jc w:val="left"/>
            </w:pPr>
            <w:r>
              <w:t xml:space="preserve">No DR</w:t>
            </w:r>
          </w:p>
        </w:tc>
        <w:tc>
          <w:tcPr/>
          <w:p>
            <w:pPr>
              <w:pStyle w:val="Compact"/>
              <w:jc w:val="left"/>
            </w:pPr>
            <w:r>
              <w:t xml:space="preserve">0</w:t>
            </w:r>
          </w:p>
        </w:tc>
        <w:tc>
          <w:tcPr/>
          <w:p>
            <w:pPr>
              <w:pStyle w:val="Compact"/>
              <w:jc w:val="left"/>
            </w:pPr>
            <w:r>
              <w:t xml:space="preserve">25,802</w:t>
            </w:r>
          </w:p>
        </w:tc>
        <w:tc>
          <w:tcPr/>
          <w:p>
            <w:pPr>
              <w:pStyle w:val="Compact"/>
              <w:jc w:val="left"/>
            </w:pPr>
            <w:r>
              <w:t xml:space="preserve">73.5%</w:t>
            </w:r>
          </w:p>
        </w:tc>
      </w:tr>
      <w:tr>
        <w:tc>
          <w:tcPr/>
          <w:p>
            <w:pPr>
              <w:pStyle w:val="Compact"/>
              <w:jc w:val="left"/>
            </w:pPr>
            <w:r>
              <w:t xml:space="preserve">Mild</w:t>
            </w:r>
          </w:p>
        </w:tc>
        <w:tc>
          <w:tcPr/>
          <w:p>
            <w:pPr>
              <w:pStyle w:val="Compact"/>
              <w:jc w:val="left"/>
            </w:pPr>
            <w:r>
              <w:t xml:space="preserve">1</w:t>
            </w:r>
          </w:p>
        </w:tc>
        <w:tc>
          <w:tcPr/>
          <w:p>
            <w:pPr>
              <w:pStyle w:val="Compact"/>
              <w:jc w:val="left"/>
            </w:pPr>
            <w:r>
              <w:t xml:space="preserve">2,438</w:t>
            </w:r>
          </w:p>
        </w:tc>
        <w:tc>
          <w:tcPr/>
          <w:p>
            <w:pPr>
              <w:pStyle w:val="Compact"/>
              <w:jc w:val="left"/>
            </w:pPr>
            <w:r>
              <w:t xml:space="preserve">6.9%</w:t>
            </w:r>
          </w:p>
        </w:tc>
      </w:tr>
      <w:tr>
        <w:tc>
          <w:tcPr/>
          <w:p>
            <w:pPr>
              <w:pStyle w:val="Compact"/>
              <w:jc w:val="left"/>
            </w:pPr>
            <w:r>
              <w:t xml:space="preserve">Moderate</w:t>
            </w:r>
          </w:p>
        </w:tc>
        <w:tc>
          <w:tcPr/>
          <w:p>
            <w:pPr>
              <w:pStyle w:val="Compact"/>
              <w:jc w:val="left"/>
            </w:pPr>
            <w:r>
              <w:t xml:space="preserve">2</w:t>
            </w:r>
          </w:p>
        </w:tc>
        <w:tc>
          <w:tcPr/>
          <w:p>
            <w:pPr>
              <w:pStyle w:val="Compact"/>
              <w:jc w:val="left"/>
            </w:pPr>
            <w:r>
              <w:t xml:space="preserve">5,288</w:t>
            </w:r>
          </w:p>
        </w:tc>
        <w:tc>
          <w:tcPr/>
          <w:p>
            <w:pPr>
              <w:pStyle w:val="Compact"/>
              <w:jc w:val="left"/>
            </w:pPr>
            <w:r>
              <w:t xml:space="preserve">15.1%</w:t>
            </w:r>
          </w:p>
        </w:tc>
      </w:tr>
      <w:tr>
        <w:tc>
          <w:tcPr/>
          <w:p>
            <w:pPr>
              <w:pStyle w:val="Compact"/>
              <w:jc w:val="left"/>
            </w:pPr>
            <w:r>
              <w:t xml:space="preserve">Severe</w:t>
            </w:r>
          </w:p>
        </w:tc>
        <w:tc>
          <w:tcPr/>
          <w:p>
            <w:pPr>
              <w:pStyle w:val="Compact"/>
              <w:jc w:val="left"/>
            </w:pPr>
            <w:r>
              <w:t xml:space="preserve">3</w:t>
            </w:r>
          </w:p>
        </w:tc>
        <w:tc>
          <w:tcPr/>
          <w:p>
            <w:pPr>
              <w:pStyle w:val="Compact"/>
              <w:jc w:val="left"/>
            </w:pPr>
            <w:r>
              <w:t xml:space="preserve">872</w:t>
            </w:r>
          </w:p>
        </w:tc>
        <w:tc>
          <w:tcPr/>
          <w:p>
            <w:pPr>
              <w:pStyle w:val="Compact"/>
              <w:jc w:val="left"/>
            </w:pPr>
            <w:r>
              <w:t xml:space="preserve">2.5%</w:t>
            </w:r>
          </w:p>
        </w:tc>
      </w:tr>
      <w:tr>
        <w:tc>
          <w:tcPr/>
          <w:p>
            <w:pPr>
              <w:pStyle w:val="Compact"/>
              <w:jc w:val="left"/>
            </w:pPr>
            <w:r>
              <w:t xml:space="preserve">Proliferative</w:t>
            </w:r>
          </w:p>
        </w:tc>
        <w:tc>
          <w:tcPr/>
          <w:p>
            <w:pPr>
              <w:pStyle w:val="Compact"/>
              <w:jc w:val="left"/>
            </w:pPr>
            <w:r>
              <w:t xml:space="preserve">4</w:t>
            </w:r>
          </w:p>
        </w:tc>
        <w:tc>
          <w:tcPr/>
          <w:p>
            <w:pPr>
              <w:pStyle w:val="Compact"/>
              <w:jc w:val="left"/>
            </w:pPr>
            <w:r>
              <w:t xml:space="preserve">708</w:t>
            </w:r>
          </w:p>
        </w:tc>
        <w:tc>
          <w:tcPr/>
          <w:p>
            <w:pPr>
              <w:pStyle w:val="Compact"/>
              <w:jc w:val="left"/>
            </w:pPr>
            <w:r>
              <w:t xml:space="preserve">2.0%</w:t>
            </w:r>
          </w:p>
        </w:tc>
      </w:tr>
    </w:tbl>
    <w:p>
      <w:pPr>
        <w:pStyle w:val="BodyText"/>
      </w:pPr>
      <w:r>
        <w:t xml:space="preserve">The distribution is heavily imbalanced (canonical for EyePACS — the dataset was collected from population-level screening rather than referral clinics). Training will require class weighting or focal loss to prevent collapse to the majority class.</w:t>
      </w:r>
    </w:p>
    <w:bookmarkEnd w:id="23"/>
    <w:bookmarkStart w:id="24" w:name="eyepacs-preprocessed-structure-on-drive"/>
    <w:p>
      <w:pPr>
        <w:pStyle w:val="Heading4"/>
      </w:pPr>
      <w:r>
        <w:t xml:space="preserve">2.1.2 EyePACS preprocessed structure on Drive</w:t>
      </w:r>
    </w:p>
    <w:p>
      <w:pPr>
        <w:pStyle w:val="SourceCode"/>
      </w:pPr>
      <w:r>
        <w:rPr>
          <w:rStyle w:val="VerbatimChar"/>
        </w:rPr>
        <w:t xml:space="preserve">/content/drive/MyDrive/dissertation/preprocessed/eyepacs/</w:t>
      </w:r>
      <w:r>
        <w:br/>
      </w:r>
      <w:r>
        <w:rPr>
          <w:rStyle w:val="VerbatimChar"/>
        </w:rPr>
        <w:t xml:space="preserve">├── eyepacs_shard_000.pt   (5,000 images)</w:t>
      </w:r>
      <w:r>
        <w:br/>
      </w:r>
      <w:r>
        <w:rPr>
          <w:rStyle w:val="VerbatimChar"/>
        </w:rPr>
        <w:t xml:space="preserve">├── eyepacs_shard_001.pt   (5,000 images)</w:t>
      </w:r>
      <w:r>
        <w:br/>
      </w:r>
      <w:r>
        <w:rPr>
          <w:rStyle w:val="VerbatimChar"/>
        </w:rPr>
        <w:t xml:space="preserve">├── eyepacs_shard_002.pt   (5,000 images)</w:t>
      </w:r>
      <w:r>
        <w:br/>
      </w:r>
      <w:r>
        <w:rPr>
          <w:rStyle w:val="VerbatimChar"/>
        </w:rPr>
        <w:t xml:space="preserve">├── eyepacs_shard_003.pt   (5,000 images)</w:t>
      </w:r>
      <w:r>
        <w:br/>
      </w:r>
      <w:r>
        <w:rPr>
          <w:rStyle w:val="VerbatimChar"/>
        </w:rPr>
        <w:t xml:space="preserve">├── eyepacs_shard_004.pt   (5,000 images)</w:t>
      </w:r>
      <w:r>
        <w:br/>
      </w:r>
      <w:r>
        <w:rPr>
          <w:rStyle w:val="VerbatimChar"/>
        </w:rPr>
        <w:t xml:space="preserve">├── eyepacs_shard_005.pt   (5,000 images)</w:t>
      </w:r>
      <w:r>
        <w:br/>
      </w:r>
      <w:r>
        <w:rPr>
          <w:rStyle w:val="VerbatimChar"/>
        </w:rPr>
        <w:t xml:space="preserve">├── eyepacs_shard_006.pt   (5,000 images)</w:t>
      </w:r>
      <w:r>
        <w:br/>
      </w:r>
      <w:r>
        <w:rPr>
          <w:rStyle w:val="VerbatimChar"/>
        </w:rPr>
        <w:t xml:space="preserve">├── eyepacs_shard_007.pt   (108 images — final partial shard)</w:t>
      </w:r>
      <w:r>
        <w:br/>
      </w:r>
      <w:r>
        <w:rPr>
          <w:rStyle w:val="VerbatimChar"/>
        </w:rPr>
        <w:t xml:space="preserve">└── metadata.json</w:t>
      </w:r>
    </w:p>
    <w:p>
      <w:pPr>
        <w:pStyle w:val="FirstParagraph"/>
      </w:pPr>
      <w:r>
        <w:t xml:space="preserve">Each</w:t>
      </w:r>
      <w:r>
        <w:t xml:space="preserve"> </w:t>
      </w:r>
      <w:r>
        <w:rPr>
          <w:rStyle w:val="VerbatimChar"/>
        </w:rPr>
        <w:t xml:space="preserve">.pt</w:t>
      </w:r>
      <w:r>
        <w:t xml:space="preserve"> </w:t>
      </w:r>
      <w:r>
        <w:t xml:space="preserve">shard is a dict containing:</w:t>
      </w:r>
      <w:r>
        <w:t xml:space="preserve"> </w:t>
      </w:r>
      <w:r>
        <w:t xml:space="preserve">-</w:t>
      </w:r>
      <w:r>
        <w:t xml:space="preserve"> </w:t>
      </w:r>
      <w:r>
        <w:rPr>
          <w:rStyle w:val="VerbatimChar"/>
        </w:rPr>
        <w:t xml:space="preserve">images</w:t>
      </w:r>
      <w:r>
        <w:t xml:space="preserve">:</w:t>
      </w:r>
      <w:r>
        <w:t xml:space="preserve"> </w:t>
      </w:r>
      <w:r>
        <w:rPr>
          <w:rStyle w:val="VerbatimChar"/>
        </w:rPr>
        <w:t xml:space="preserve">torch.float32 [N, 3, 224, 224]</w:t>
      </w:r>
      <w:r>
        <w:t xml:space="preserve"> </w:t>
      </w:r>
      <w:r>
        <w:t xml:space="preserve">— ImageNet-normalised</w:t>
      </w:r>
      <w:r>
        <w:t xml:space="preserve"> </w:t>
      </w:r>
      <w:r>
        <w:t xml:space="preserve">-</w:t>
      </w:r>
      <w:r>
        <w:t xml:space="preserve"> </w:t>
      </w:r>
      <w:r>
        <w:rPr>
          <w:rStyle w:val="VerbatimChar"/>
        </w:rPr>
        <w:t xml:space="preserve">labels</w:t>
      </w:r>
      <w:r>
        <w:t xml:space="preserve">:</w:t>
      </w:r>
      <w:r>
        <w:t xml:space="preserve"> </w:t>
      </w:r>
      <w:r>
        <w:rPr>
          <w:rStyle w:val="VerbatimChar"/>
        </w:rPr>
        <w:t xml:space="preserve">torch.int64 [N]</w:t>
      </w:r>
      <w:r>
        <w:t xml:space="preserve"> </w:t>
      </w:r>
      <w:r>
        <w:t xml:space="preserve">— DR severity class (0-4)</w:t>
      </w:r>
      <w:r>
        <w:t xml:space="preserve"> </w:t>
      </w:r>
      <w:r>
        <w:t xml:space="preserve">-</w:t>
      </w:r>
      <w:r>
        <w:t xml:space="preserve"> </w:t>
      </w:r>
      <w:r>
        <w:rPr>
          <w:rStyle w:val="VerbatimChar"/>
        </w:rPr>
        <w:t xml:space="preserve">filenames</w:t>
      </w:r>
      <w:r>
        <w:t xml:space="preserve">: list of strings —</w:t>
      </w:r>
      <w:r>
        <w:t xml:space="preserve"> </w:t>
      </w:r>
      <w:r>
        <w:rPr>
          <w:rStyle w:val="VerbatimChar"/>
        </w:rPr>
        <w:t xml:space="preserve">eyepacs_NNNNNN</w:t>
      </w:r>
      <w:r>
        <w:t xml:space="preserve"> </w:t>
      </w:r>
      <w:r>
        <w:t xml:space="preserve">indices</w:t>
      </w:r>
    </w:p>
    <w:p>
      <w:pPr>
        <w:pStyle w:val="BodyText"/>
      </w:pPr>
      <w:r>
        <w:t xml:space="preserve">Sharding rationale: 35K images at 3×224×224×4 bytes = ~22 GB total. Sharded to fit in memory comfortably and to enable resumable preprocessing (existing shards skip on rerun).</w:t>
      </w:r>
    </w:p>
    <w:bookmarkEnd w:id="24"/>
    <w:bookmarkEnd w:id="25"/>
    <w:bookmarkStart w:id="29" w:name="olives"/>
    <w:p>
      <w:pPr>
        <w:pStyle w:val="Heading3"/>
      </w:pPr>
      <w:r>
        <w:t xml:space="preserve">2.2 OLIVES</w:t>
      </w:r>
    </w:p>
    <w:p>
      <w:pPr>
        <w:pStyle w:val="FirstParagraph"/>
      </w:pPr>
      <w:r>
        <w:rPr>
          <w:bCs/>
          <w:b/>
        </w:rPr>
        <w:t xml:space="preserve">Source</w:t>
      </w:r>
      <w:r>
        <w:t xml:space="preserve">: PhysioNet (Prabhushankar et al., NeurIPS 2022)</w:t>
      </w:r>
      <w:r>
        <w:t xml:space="preserve"> </w:t>
      </w:r>
      <w:r>
        <w:rPr>
          <w:bCs/>
          <w:b/>
        </w:rPr>
        <w:t xml:space="preserve">Original size</w:t>
      </w:r>
      <w:r>
        <w:t xml:space="preserve">: ~78K OCT B-scan images plus paired fundus images, organised by clinical trial</w:t>
      </w:r>
      <w:r>
        <w:t xml:space="preserve"> </w:t>
      </w:r>
      <w:r>
        <w:rPr>
          <w:bCs/>
          <w:b/>
        </w:rPr>
        <w:t xml:space="preserve">Used in dissertation</w:t>
      </w:r>
      <w:r>
        <w:t xml:space="preserve">: 3,142 unique fundus images (OCT not used directly; OCT-derived labels used as auxiliary supervision)</w:t>
      </w:r>
      <w:r>
        <w:t xml:space="preserve"> </w:t>
      </w:r>
      <w:r>
        <w:rPr>
          <w:bCs/>
          <w:b/>
        </w:rPr>
        <w:t xml:space="preserve">Role</w:t>
      </w:r>
      <w:r>
        <w:t xml:space="preserve">: Provides longitudinal trajectories for progression prediction and biomarker labels for auxiliary multi-label classification supervision.</w:t>
      </w:r>
    </w:p>
    <w:bookmarkStart w:id="26" w:name="olives-dataset-structure-raw"/>
    <w:p>
      <w:pPr>
        <w:pStyle w:val="Heading4"/>
      </w:pPr>
      <w:r>
        <w:t xml:space="preserve">2.2.1 OLIVES dataset structure (raw)</w:t>
      </w:r>
    </w:p>
    <w:p>
      <w:pPr>
        <w:pStyle w:val="FirstParagraph"/>
      </w:pPr>
      <w:r>
        <w:t xml:space="preserve">The OLIVES distribution arrives as a triple-nested zip:</w:t>
      </w:r>
    </w:p>
    <w:p>
      <w:pPr>
        <w:pStyle w:val="SourceCode"/>
      </w:pPr>
      <w:r>
        <w:rPr>
          <w:rStyle w:val="VerbatimChar"/>
        </w:rPr>
        <w:t xml:space="preserve">olive.zip                                  (outer container)</w:t>
      </w:r>
      <w:r>
        <w:br/>
      </w:r>
      <w:r>
        <w:rPr>
          <w:rStyle w:val="VerbatimChar"/>
        </w:rPr>
        <w:t xml:space="preserve">└── OLIVES.zip                             (inner)</w:t>
      </w:r>
      <w:r>
        <w:br/>
      </w:r>
      <w:r>
        <w:rPr>
          <w:rStyle w:val="VerbatimChar"/>
        </w:rPr>
        <w:t xml:space="preserve">    ├── OLIVES/TREX_DME.zip                (TREX DME trial)</w:t>
      </w:r>
      <w:r>
        <w:br/>
      </w:r>
      <w:r>
        <w:rPr>
          <w:rStyle w:val="VerbatimChar"/>
        </w:rPr>
        <w:t xml:space="preserve">    │   └── TREX DME/</w:t>
      </w:r>
      <w:r>
        <w:br/>
      </w:r>
      <w:r>
        <w:rPr>
          <w:rStyle w:val="VerbatimChar"/>
        </w:rPr>
        <w:t xml:space="preserve">    │       └── {ARM}/                     (e.g. GILA, TREX)</w:t>
      </w:r>
      <w:r>
        <w:br/>
      </w:r>
      <w:r>
        <w:rPr>
          <w:rStyle w:val="VerbatimChar"/>
        </w:rPr>
        <w:t xml:space="preserve">    │           └── {patient}/             (e.g. 0213TOS)</w:t>
      </w:r>
      <w:r>
        <w:br/>
      </w:r>
      <w:r>
        <w:rPr>
          <w:rStyle w:val="VerbatimChar"/>
        </w:rPr>
        <w:t xml:space="preserve">    │               └── V{visit}/          (e.g. V1, V14, V19)</w:t>
      </w:r>
      <w:r>
        <w:br/>
      </w:r>
      <w:r>
        <w:rPr>
          <w:rStyle w:val="VerbatimChar"/>
        </w:rPr>
        <w:t xml:space="preserve">    │                   └── {eye}/         (OD or OS)</w:t>
      </w:r>
      <w:r>
        <w:br/>
      </w:r>
      <w:r>
        <w:rPr>
          <w:rStyle w:val="VerbatimChar"/>
        </w:rPr>
        <w:t xml:space="preserve">    │                       ├── fundus_OS_V19.tif       (fundus image)</w:t>
      </w:r>
      <w:r>
        <w:br/>
      </w:r>
      <w:r>
        <w:rPr>
          <w:rStyle w:val="VerbatimChar"/>
        </w:rPr>
        <w:t xml:space="preserve">    │                       └── TREXJ_NNNNNN.tif        (OCT B-scans, ~49 per visit)</w:t>
      </w:r>
      <w:r>
        <w:br/>
      </w:r>
      <w:r>
        <w:rPr>
          <w:rStyle w:val="VerbatimChar"/>
        </w:rPr>
        <w:t xml:space="preserve">    └── OLIVES/Prime_FULL.zip              (Prime trial)</w:t>
      </w:r>
      <w:r>
        <w:br/>
      </w:r>
      <w:r>
        <w:rPr>
          <w:rStyle w:val="VerbatimChar"/>
        </w:rPr>
        <w:t xml:space="preserve">        └── Prime_FULL/</w:t>
      </w:r>
      <w:r>
        <w:br/>
      </w:r>
      <w:r>
        <w:rPr>
          <w:rStyle w:val="VerbatimChar"/>
        </w:rPr>
        <w:t xml:space="preserve">            └── {patient}/                 (e.g. 02-010)</w:t>
      </w:r>
      <w:r>
        <w:br/>
      </w:r>
      <w:r>
        <w:rPr>
          <w:rStyle w:val="VerbatimChar"/>
        </w:rPr>
        <w:t xml:space="preserve">                └── W{week}/               (e.g. W0, W36, W104)</w:t>
      </w:r>
      <w:r>
        <w:br/>
      </w:r>
      <w:r>
        <w:rPr>
          <w:rStyle w:val="VerbatimChar"/>
        </w:rPr>
        <w:t xml:space="preserve">                    └── {eye}/             (OD or OS)</w:t>
      </w:r>
      <w:r>
        <w:br/>
      </w:r>
      <w:r>
        <w:rPr>
          <w:rStyle w:val="VerbatimChar"/>
        </w:rPr>
        <w:t xml:space="preserve">                        ├── fundus_OD_W0.tif        (fundus, .tif version)</w:t>
      </w:r>
      <w:r>
        <w:br/>
      </w:r>
      <w:r>
        <w:rPr>
          <w:rStyle w:val="VerbatimChar"/>
        </w:rPr>
        <w:t xml:space="preserve">                        ├── fundus_W0.png           (fundus, .png version — DEDUPED)</w:t>
      </w:r>
      <w:r>
        <w:br/>
      </w:r>
      <w:r>
        <w:rPr>
          <w:rStyle w:val="VerbatimChar"/>
        </w:rPr>
        <w:t xml:space="preserve">                        └── TREXW_NNNNNN.tif        (OCT B-scans)</w:t>
      </w:r>
    </w:p>
    <w:p>
      <w:pPr>
        <w:pStyle w:val="FirstParagraph"/>
      </w:pPr>
      <w:r>
        <w:rPr>
          <w:bCs/>
          <w:b/>
        </w:rPr>
        <w:t xml:space="preserve">Trial-specific path structure differs</w:t>
      </w:r>
      <w:r>
        <w:t xml:space="preserve">:</w:t>
      </w:r>
      <w:r>
        <w:t xml:space="preserve"> </w:t>
      </w:r>
      <w:r>
        <w:t xml:space="preserve">- TREX DME path:</w:t>
      </w:r>
      <w:r>
        <w:t xml:space="preserve"> </w:t>
      </w:r>
      <w:r>
        <w:rPr>
          <w:rStyle w:val="VerbatimChar"/>
        </w:rPr>
        <w:t xml:space="preserve">TREX DME/{arm}/{patient}/V{visit}/{eye}/{filename}</w:t>
      </w:r>
      <w:r>
        <w:t xml:space="preserve"> </w:t>
      </w:r>
      <w:r>
        <w:t xml:space="preserve">— 5 levels before filename</w:t>
      </w:r>
      <w:r>
        <w:t xml:space="preserve"> </w:t>
      </w:r>
      <w:r>
        <w:t xml:space="preserve">- Prime_FULL path:</w:t>
      </w:r>
      <w:r>
        <w:t xml:space="preserve"> </w:t>
      </w:r>
      <w:r>
        <w:rPr>
          <w:rStyle w:val="VerbatimChar"/>
        </w:rPr>
        <w:t xml:space="preserve">Prime_FULL/{patient}/W{week}/{eye}/{filename}</w:t>
      </w:r>
      <w:r>
        <w:t xml:space="preserve"> </w:t>
      </w:r>
      <w:r>
        <w:t xml:space="preserve">— 4 levels before filename</w:t>
      </w:r>
    </w:p>
    <w:p>
      <w:pPr>
        <w:pStyle w:val="BodyText"/>
      </w:pPr>
      <w:r>
        <w:t xml:space="preserve">This trial-specific path layout is the reason both</w:t>
      </w:r>
      <w:r>
        <w:t xml:space="preserve"> </w:t>
      </w:r>
      <w:r>
        <w:rPr>
          <w:rStyle w:val="VerbatimChar"/>
        </w:rPr>
        <w:t xml:space="preserve">_csv_path_to_key()</w:t>
      </w:r>
      <w:r>
        <w:t xml:space="preserve"> </w:t>
      </w:r>
      <w:r>
        <w:t xml:space="preserve">and</w:t>
      </w:r>
      <w:r>
        <w:t xml:space="preserve"> </w:t>
      </w:r>
      <w:r>
        <w:rPr>
          <w:rStyle w:val="VerbatimChar"/>
        </w:rPr>
        <w:t xml:space="preserve">_disk_path_to_key()</w:t>
      </w:r>
      <w:r>
        <w:t xml:space="preserve"> </w:t>
      </w:r>
      <w:r>
        <w:t xml:space="preserve">in</w:t>
      </w:r>
      <w:r>
        <w:t xml:space="preserve"> </w:t>
      </w:r>
      <w:r>
        <w:rPr>
          <w:rStyle w:val="VerbatimChar"/>
        </w:rPr>
        <w:t xml:space="preserve">preprocess.py</w:t>
      </w:r>
      <w:r>
        <w:t xml:space="preserve"> </w:t>
      </w:r>
      <w:r>
        <w:t xml:space="preserve">have separate handling for each trial.</w:t>
      </w:r>
    </w:p>
    <w:p>
      <w:pPr>
        <w:pStyle w:val="BodyText"/>
      </w:pPr>
      <w:r>
        <w:rPr>
          <w:bCs/>
          <w:b/>
        </w:rPr>
        <w:t xml:space="preserve">Important Prime_FULL detail</w:t>
      </w:r>
      <w:r>
        <w:t xml:space="preserve">: the same fundus image is stored in BOTH</w:t>
      </w:r>
      <w:r>
        <w:t xml:space="preserve"> </w:t>
      </w:r>
      <w:r>
        <w:rPr>
          <w:rStyle w:val="VerbatimChar"/>
        </w:rPr>
        <w:t xml:space="preserve">.tif</w:t>
      </w:r>
      <w:r>
        <w:t xml:space="preserve"> </w:t>
      </w:r>
      <w:r>
        <w:t xml:space="preserve">(lossless) and</w:t>
      </w:r>
      <w:r>
        <w:t xml:space="preserve"> </w:t>
      </w:r>
      <w:r>
        <w:rPr>
          <w:rStyle w:val="VerbatimChar"/>
        </w:rPr>
        <w:t xml:space="preserve">.png</w:t>
      </w:r>
      <w:r>
        <w:t xml:space="preserve"> </w:t>
      </w:r>
      <w:r>
        <w:t xml:space="preserve">formats. Without preprocessing-time deduplication, this would inflate Prime_FULL representation 2× relative to TREX DME. Our pipeline deduplicates by preferring</w:t>
      </w:r>
      <w:r>
        <w:t xml:space="preserve"> </w:t>
      </w:r>
      <w:r>
        <w:rPr>
          <w:rStyle w:val="VerbatimChar"/>
        </w:rPr>
        <w:t xml:space="preserve">.tif</w:t>
      </w:r>
      <w:r>
        <w:t xml:space="preserve"> </w:t>
      </w:r>
      <w:r>
        <w:t xml:space="preserve">over</w:t>
      </w:r>
      <w:r>
        <w:t xml:space="preserve"> </w:t>
      </w:r>
      <w:r>
        <w:rPr>
          <w:rStyle w:val="VerbatimChar"/>
        </w:rPr>
        <w:t xml:space="preserve">.png</w:t>
      </w:r>
      <w:r>
        <w:t xml:space="preserve"> </w:t>
      </w:r>
      <w:r>
        <w:t xml:space="preserve">(see Section 6.3).</w:t>
      </w:r>
    </w:p>
    <w:bookmarkEnd w:id="26"/>
    <w:bookmarkStart w:id="27" w:name="olives-label-files"/>
    <w:p>
      <w:pPr>
        <w:pStyle w:val="Heading4"/>
      </w:pPr>
      <w:r>
        <w:t xml:space="preserve">2.2.2 OLIVES label files</w:t>
      </w:r>
    </w:p>
    <w:p>
      <w:pPr>
        <w:pStyle w:val="FirstParagraph"/>
      </w:pPr>
      <w:r>
        <w:t xml:space="preserve">Located at</w:t>
      </w:r>
      <w:r>
        <w:t xml:space="preserve"> </w:t>
      </w:r>
      <w:r>
        <w:rPr>
          <w:rStyle w:val="VerbatimChar"/>
        </w:rPr>
        <w:t xml:space="preserve">/content/drive/MyDrive/olives_labels/OLIVES_Dataset_Labels/</w:t>
      </w:r>
      <w:r>
        <w:t xml:space="preserve">:</w:t>
      </w:r>
    </w:p>
    <w:p>
      <w:pPr>
        <w:pStyle w:val="SourceCode"/>
      </w:pPr>
      <w:r>
        <w:rPr>
          <w:rStyle w:val="VerbatimChar"/>
        </w:rPr>
        <w:t xml:space="preserve">OLIVES_Dataset_Labels/</w:t>
      </w:r>
      <w:r>
        <w:br/>
      </w:r>
      <w:r>
        <w:rPr>
          <w:rStyle w:val="VerbatimChar"/>
        </w:rPr>
        <w:t xml:space="preserve">├── full_labels/</w:t>
      </w:r>
      <w:r>
        <w:br/>
      </w:r>
      <w:r>
        <w:rPr>
          <w:rStyle w:val="VerbatimChar"/>
        </w:rPr>
        <w:t xml:space="preserve">│   ├── Clinical_Data_Images.xlsx        ← TIER 1 source (78,185 rows, 1,594 unique visit-eyes)</w:t>
      </w:r>
      <w:r>
        <w:br/>
      </w:r>
      <w:r>
        <w:rPr>
          <w:rStyle w:val="VerbatimChar"/>
        </w:rPr>
        <w:t xml:space="preserve">│   ├── OCT-DR.xlsx                      ← Patient-level DR study summary (41 rows; not per-image)</w:t>
      </w:r>
      <w:r>
        <w:br/>
      </w:r>
      <w:r>
        <w:rPr>
          <w:rStyle w:val="VerbatimChar"/>
        </w:rPr>
        <w:t xml:space="preserve">│   └── OCT-DME.xlsx                     ← Patient-level DME study summary (42 rows; not per-image)</w:t>
      </w:r>
      <w:r>
        <w:br/>
      </w:r>
      <w:r>
        <w:rPr>
          <w:rStyle w:val="VerbatimChar"/>
        </w:rPr>
        <w:t xml:space="preserve">└── ml_centric_labels/</w:t>
      </w:r>
      <w:r>
        <w:br/>
      </w:r>
      <w:r>
        <w:rPr>
          <w:rStyle w:val="VerbatimChar"/>
        </w:rPr>
        <w:t xml:space="preserve">    ├── Biomarker_Clinical_Data_Images.csv  ← TIER 2 source (9,408 rows, 192 unique visit-eyes)</w:t>
      </w:r>
      <w:r>
        <w:br/>
      </w:r>
      <w:r>
        <w:rPr>
          <w:rStyle w:val="VerbatimChar"/>
        </w:rPr>
        <w:t xml:space="preserve">    └── Clinical_Data_Images.xlsx           ← Identical copy of full_labels/Clinical_Data_Images.xlsx</w:t>
      </w:r>
    </w:p>
    <w:bookmarkEnd w:id="27"/>
    <w:bookmarkStart w:id="28" w:name="label-file-schemas"/>
    <w:p>
      <w:pPr>
        <w:pStyle w:val="Heading4"/>
      </w:pPr>
      <w:r>
        <w:t xml:space="preserve">2.2.3 Label file schemas</w:t>
      </w:r>
    </w:p>
    <w:p>
      <w:pPr>
        <w:pStyle w:val="FirstParagraph"/>
      </w:pPr>
      <w:r>
        <w:rPr>
          <w:bCs/>
          <w:b/>
        </w:rPr>
        <w:t xml:space="preserve">Clinical_Data_Images.xlsx</w:t>
      </w:r>
      <w:r>
        <w:t xml:space="preserve"> </w:t>
      </w:r>
      <w:r>
        <w:t xml:space="preserve">(78,185 rows, 5 columns):</w:t>
      </w:r>
      <w:r>
        <w:t xml:space="preserve"> </w:t>
      </w:r>
      <w:r>
        <w:t xml:space="preserve">-</w:t>
      </w:r>
      <w:r>
        <w:t xml:space="preserve"> </w:t>
      </w:r>
      <w:r>
        <w:rPr>
          <w:rStyle w:val="VerbatimChar"/>
        </w:rPr>
        <w:t xml:space="preserve">File_Path</w:t>
      </w:r>
      <w:r>
        <w:t xml:space="preserve"> </w:t>
      </w:r>
      <w:r>
        <w:t xml:space="preserve">— path to OCT B-scan (with leading slash)</w:t>
      </w:r>
      <w:r>
        <w:t xml:space="preserve"> </w:t>
      </w:r>
      <w:r>
        <w:t xml:space="preserve">-</w:t>
      </w:r>
      <w:r>
        <w:t xml:space="preserve"> </w:t>
      </w:r>
      <w:r>
        <w:rPr>
          <w:rStyle w:val="VerbatimChar"/>
        </w:rPr>
        <w:t xml:space="preserve">BCVA</w:t>
      </w:r>
      <w:r>
        <w:t xml:space="preserve"> </w:t>
      </w:r>
      <w:r>
        <w:t xml:space="preserve">— Best Corrected Visual Acuity (continuous, ETDRS letters)</w:t>
      </w:r>
      <w:r>
        <w:t xml:space="preserve"> </w:t>
      </w:r>
      <w:r>
        <w:t xml:space="preserve">-</w:t>
      </w:r>
      <w:r>
        <w:t xml:space="preserve"> </w:t>
      </w:r>
      <w:r>
        <w:rPr>
          <w:rStyle w:val="VerbatimChar"/>
        </w:rPr>
        <w:t xml:space="preserve">CST</w:t>
      </w:r>
      <w:r>
        <w:t xml:space="preserve"> </w:t>
      </w:r>
      <w:r>
        <w:t xml:space="preserve">— Central Subfield Thickness (continuous, microns)</w:t>
      </w:r>
      <w:r>
        <w:t xml:space="preserve"> </w:t>
      </w:r>
      <w:r>
        <w:t xml:space="preserve">-</w:t>
      </w:r>
      <w:r>
        <w:t xml:space="preserve"> </w:t>
      </w:r>
      <w:r>
        <w:rPr>
          <w:rStyle w:val="VerbatimChar"/>
        </w:rPr>
        <w:t xml:space="preserve">Eye_ID</w:t>
      </w:r>
      <w:r>
        <w:t xml:space="preserve"> </w:t>
      </w:r>
      <w:r>
        <w:t xml:space="preserve">— integer eye identifier</w:t>
      </w:r>
      <w:r>
        <w:t xml:space="preserve"> </w:t>
      </w:r>
      <w:r>
        <w:t xml:space="preserve">-</w:t>
      </w:r>
      <w:r>
        <w:t xml:space="preserve"> </w:t>
      </w:r>
      <w:r>
        <w:rPr>
          <w:rStyle w:val="VerbatimChar"/>
        </w:rPr>
        <w:t xml:space="preserve">Patient_ID</w:t>
      </w:r>
      <w:r>
        <w:t xml:space="preserve"> </w:t>
      </w:r>
      <w:r>
        <w:t xml:space="preserve">— integer patient identifier</w:t>
      </w:r>
    </w:p>
    <w:p>
      <w:pPr>
        <w:pStyle w:val="BodyText"/>
      </w:pPr>
      <w:r>
        <w:rPr>
          <w:bCs/>
          <w:b/>
        </w:rPr>
        <w:t xml:space="preserve">Biomarker_Clinical_Data_Images.csv</w:t>
      </w:r>
      <w:r>
        <w:t xml:space="preserve"> </w:t>
      </w:r>
      <w:r>
        <w:t xml:space="preserve">(9,408 rows):</w:t>
      </w:r>
      <w:r>
        <w:t xml:space="preserve"> </w:t>
      </w:r>
      <w:r>
        <w:t xml:space="preserve">-</w:t>
      </w:r>
      <w:r>
        <w:t xml:space="preserve"> </w:t>
      </w:r>
      <w:r>
        <w:rPr>
          <w:rStyle w:val="VerbatimChar"/>
        </w:rPr>
        <w:t xml:space="preserve">Path (Trial/Arm/Folder/Visit/Eye/Image Name)</w:t>
      </w:r>
      <w:r>
        <w:t xml:space="preserve"> </w:t>
      </w:r>
      <w:r>
        <w:t xml:space="preserve">— path to OCT B-scan (with leading slash)</w:t>
      </w:r>
      <w:r>
        <w:t xml:space="preserve"> </w:t>
      </w:r>
      <w:r>
        <w:t xml:space="preserve">-</w:t>
      </w:r>
      <w:r>
        <w:t xml:space="preserve"> </w:t>
      </w:r>
      <w:r>
        <w:rPr>
          <w:rStyle w:val="VerbatimChar"/>
        </w:rPr>
        <w:t xml:space="preserve">BCVA</w:t>
      </w:r>
      <w:r>
        <w:t xml:space="preserve">,</w:t>
      </w:r>
      <w:r>
        <w:t xml:space="preserve"> </w:t>
      </w:r>
      <w:r>
        <w:rPr>
          <w:rStyle w:val="VerbatimChar"/>
        </w:rPr>
        <w:t xml:space="preserve">CST</w:t>
      </w:r>
      <w:r>
        <w:t xml:space="preserve">,</w:t>
      </w:r>
      <w:r>
        <w:t xml:space="preserve"> </w:t>
      </w:r>
      <w:r>
        <w:rPr>
          <w:rStyle w:val="VerbatimChar"/>
        </w:rPr>
        <w:t xml:space="preserve">Eye_ID</w:t>
      </w:r>
      <w:r>
        <w:t xml:space="preserve">,</w:t>
      </w:r>
      <w:r>
        <w:t xml:space="preserve"> </w:t>
      </w:r>
      <w:r>
        <w:rPr>
          <w:rStyle w:val="VerbatimChar"/>
        </w:rPr>
        <w:t xml:space="preserve">Patient_ID</w:t>
      </w:r>
      <w:r>
        <w:t xml:space="preserve"> </w:t>
      </w:r>
      <w:r>
        <w:t xml:space="preserve">— same as clinical file</w:t>
      </w:r>
      <w:r>
        <w:t xml:space="preserve"> </w:t>
      </w:r>
      <w:r>
        <w:t xml:space="preserve">-</w:t>
      </w:r>
      <w:r>
        <w:t xml:space="preserve"> </w:t>
      </w:r>
      <w:r>
        <w:rPr>
          <w:rStyle w:val="VerbatimChar"/>
        </w:rPr>
        <w:t xml:space="preserve">Scan (n/49)</w:t>
      </w:r>
      <w:r>
        <w:t xml:space="preserve"> </w:t>
      </w:r>
      <w:r>
        <w:t xml:space="preserve">— which OCT B-scan within the visit-eye sequence</w:t>
      </w:r>
      <w:r>
        <w:t xml:space="preserve"> </w:t>
      </w:r>
      <w:r>
        <w:t xml:space="preserve">- 16 binary biomarker columns (see section 4.2 below)</w:t>
      </w:r>
    </w:p>
    <w:p>
      <w:pPr>
        <w:pStyle w:val="BodyText"/>
      </w:pPr>
      <w:r>
        <w:rPr>
          <w:bCs/>
          <w:b/>
        </w:rPr>
        <w:t xml:space="preserve">Critical distinction</w:t>
      </w:r>
      <w:r>
        <w:t xml:space="preserve">: each row in both files corresponds to a single OCT B-scan,</w:t>
      </w:r>
      <w:r>
        <w:t xml:space="preserve"> </w:t>
      </w:r>
      <w:r>
        <w:rPr>
          <w:bCs/>
          <w:b/>
        </w:rPr>
        <w:t xml:space="preserve">not</w:t>
      </w:r>
      <w:r>
        <w:t xml:space="preserve"> </w:t>
      </w:r>
      <w:r>
        <w:t xml:space="preserve">a fundus image. A typical visit-eye captures ~49 OCT B-scans, each represented as a separate row. BCVA and CST are visit-level measurements broadcast to every scan row of that visit.</w:t>
      </w:r>
      <w:r>
        <w:t xml:space="preserve"> </w:t>
      </w:r>
      <w:r>
        <w:rPr>
          <w:bCs/>
          <w:b/>
        </w:rPr>
        <w:t xml:space="preserve">Biomarkers vary across scans</w:t>
      </w:r>
      <w:r>
        <w:t xml:space="preserve"> </w:t>
      </w:r>
      <w:r>
        <w:t xml:space="preserve">(a biomarker is positive for a B-scan if the relevant pathology is visible in that specific cross-section — see Section 6.2 for the methodological implication).</w:t>
      </w:r>
    </w:p>
    <w:bookmarkEnd w:id="28"/>
    <w:bookmarkEnd w:id="29"/>
    <w:bookmarkStart w:id="30" w:name="X4c103ea169dafa3102078cef8c145526ecd8694"/>
    <w:p>
      <w:pPr>
        <w:pStyle w:val="Heading3"/>
      </w:pPr>
      <w:r>
        <w:t xml:space="preserve">2.3 Cohort reconciliation against the OLIVES paper</w:t>
      </w:r>
    </w:p>
    <w:p>
      <w:pPr>
        <w:pStyle w:val="FirstParagraph"/>
      </w:pPr>
      <w:r>
        <w:t xml:space="preserve">After full preprocessing and</w:t>
      </w:r>
      <w:r>
        <w:t xml:space="preserve"> </w:t>
      </w:r>
      <w:r>
        <w:rPr>
          <w:rStyle w:val="VerbatimChar"/>
        </w:rPr>
        <w:t xml:space="preserve">.tif</w:t>
      </w:r>
      <w:r>
        <w:t xml:space="preserve">/</w:t>
      </w:r>
      <w:r>
        <w:rPr>
          <w:rStyle w:val="VerbatimChar"/>
        </w:rPr>
        <w:t xml:space="preserve">.png</w:t>
      </w:r>
      <w:r>
        <w:t xml:space="preserve"> </w:t>
      </w:r>
      <w:r>
        <w:t xml:space="preserve">deduplication, our dataset reconciles exactly against the cohort statistics reported in the OLIVES paper (Prabhushankar et al., NeurIPS 2022):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Paper (Table 2)</w:t>
            </w:r>
          </w:p>
        </w:tc>
        <w:tc>
          <w:tcPr/>
          <w:p>
            <w:pPr>
              <w:pStyle w:val="Compact"/>
              <w:jc w:val="left"/>
            </w:pPr>
            <w:r>
              <w:t xml:space="preserve">Our preprocessed dataset</w:t>
            </w:r>
          </w:p>
        </w:tc>
        <w:tc>
          <w:tcPr/>
          <w:p>
            <w:pPr>
              <w:pStyle w:val="Compact"/>
              <w:jc w:val="left"/>
            </w:pPr>
            <w:r>
              <w:t xml:space="preserve">Match</w:t>
            </w:r>
          </w:p>
        </w:tc>
      </w:tr>
      <w:tr>
        <w:tc>
          <w:tcPr/>
          <w:p>
            <w:pPr>
              <w:pStyle w:val="Compact"/>
              <w:jc w:val="left"/>
            </w:pPr>
            <w:r>
              <w:t xml:space="preserve">Total patients</w:t>
            </w:r>
          </w:p>
        </w:tc>
        <w:tc>
          <w:tcPr/>
          <w:p>
            <w:pPr>
              <w:pStyle w:val="Compact"/>
              <w:jc w:val="left"/>
            </w:pPr>
            <w:r>
              <w:t xml:space="preserve">96</w:t>
            </w:r>
          </w:p>
        </w:tc>
        <w:tc>
          <w:tcPr/>
          <w:p>
            <w:pPr>
              <w:pStyle w:val="Compact"/>
              <w:jc w:val="left"/>
            </w:pPr>
            <w:r>
              <w:t xml:space="preserve">96</w:t>
            </w:r>
          </w:p>
        </w:tc>
        <w:tc>
          <w:tcPr/>
          <w:p>
            <w:pPr>
              <w:pStyle w:val="Compact"/>
              <w:jc w:val="left"/>
            </w:pPr>
            <w:r>
              <w:t xml:space="preserve">✓ exact</w:t>
            </w:r>
          </w:p>
        </w:tc>
      </w:tr>
      <w:tr>
        <w:tc>
          <w:tcPr/>
          <w:p>
            <w:pPr>
              <w:pStyle w:val="Compact"/>
              <w:jc w:val="left"/>
            </w:pPr>
            <w:r>
              <w:t xml:space="preserve">Average visits per patient</w:t>
            </w:r>
          </w:p>
        </w:tc>
        <w:tc>
          <w:tcPr/>
          <w:p>
            <w:pPr>
              <w:pStyle w:val="Compact"/>
              <w:jc w:val="left"/>
            </w:pPr>
            <w:r>
              <w:t xml:space="preserve">~16</w:t>
            </w:r>
          </w:p>
        </w:tc>
        <w:tc>
          <w:tcPr/>
          <w:p>
            <w:pPr>
              <w:pStyle w:val="Compact"/>
              <w:jc w:val="left"/>
            </w:pPr>
            <w:r>
              <w:t xml:space="preserve">15.4</w:t>
            </w:r>
          </w:p>
        </w:tc>
        <w:tc>
          <w:tcPr/>
          <w:p>
            <w:pPr>
              <w:pStyle w:val="Compact"/>
              <w:jc w:val="left"/>
            </w:pPr>
            <w:r>
              <w:t xml:space="preserve">✓ within rounding</w:t>
            </w:r>
          </w:p>
        </w:tc>
      </w:tr>
      <w:tr>
        <w:tc>
          <w:tcPr/>
          <w:p>
            <w:pPr>
              <w:pStyle w:val="Compact"/>
              <w:jc w:val="left"/>
            </w:pPr>
            <w:r>
              <w:t xml:space="preserve">Patient-eyes (both eyes counted)</w:t>
            </w:r>
          </w:p>
        </w:tc>
        <w:tc>
          <w:tcPr/>
          <w:p>
            <w:pPr>
              <w:pStyle w:val="Compact"/>
              <w:jc w:val="left"/>
            </w:pPr>
            <w:r>
              <w:t xml:space="preserve">“</w:t>
            </w:r>
            <w:r>
              <w:t xml:space="preserve">96 Eyes</w:t>
            </w:r>
            <w:r>
              <w:t xml:space="preserve">”</w:t>
            </w:r>
            <w:r>
              <w:t xml:space="preserve"> </w:t>
            </w:r>
            <w:r>
              <w:t xml:space="preserve">(paper terminology — actually means 96 patients)</w:t>
            </w:r>
          </w:p>
        </w:tc>
        <w:tc>
          <w:tcPr/>
          <w:p>
            <w:pPr>
              <w:pStyle w:val="Compact"/>
              <w:jc w:val="left"/>
            </w:pPr>
            <w:r>
              <w:t xml:space="preserve">204 patient-eyes</w:t>
            </w:r>
          </w:p>
        </w:tc>
        <w:tc>
          <w:tcPr/>
          <w:p>
            <w:pPr>
              <w:pStyle w:val="Compact"/>
              <w:jc w:val="left"/>
            </w:pPr>
            <w:r>
              <w:t xml:space="preserve">Reconciled</w:t>
            </w:r>
          </w:p>
        </w:tc>
      </w:tr>
      <w:tr>
        <w:tc>
          <w:tcPr/>
          <w:p>
            <w:pPr>
              <w:pStyle w:val="Compact"/>
              <w:jc w:val="left"/>
            </w:pPr>
            <w:r>
              <w:t xml:space="preserve">Total unique visit-eyes with fundus</w:t>
            </w:r>
          </w:p>
        </w:tc>
        <w:tc>
          <w:tcPr/>
          <w:p>
            <w:pPr>
              <w:pStyle w:val="Compact"/>
              <w:jc w:val="left"/>
            </w:pPr>
            <w:r>
              <w:t xml:space="preserve">(not explicitly reported)</w:t>
            </w:r>
          </w:p>
        </w:tc>
        <w:tc>
          <w:tcPr/>
          <w:p>
            <w:pPr>
              <w:pStyle w:val="Compact"/>
              <w:jc w:val="left"/>
            </w:pPr>
            <w:r>
              <w:t xml:space="preserve">3,142</w:t>
            </w:r>
          </w:p>
        </w:tc>
        <w:tc>
          <w:tcPr/>
          <w:p>
            <w:pPr>
              <w:pStyle w:val="Compact"/>
              <w:jc w:val="left"/>
            </w:pPr>
            <w:r>
              <w:t xml:space="preserve">Consistent with 204 × 15.4 ≈ 3,142</w:t>
            </w:r>
          </w:p>
        </w:tc>
      </w:tr>
    </w:tbl>
    <w:p>
      <w:pPr>
        <w:pStyle w:val="BodyText"/>
      </w:pPr>
      <w:r>
        <w:rPr>
          <w:bCs/>
          <w:b/>
        </w:rPr>
        <w:t xml:space="preserve">Per-trial breakdown (post-dedup)</w:t>
      </w:r>
      <w:r>
        <w:t xml:space="preserve">:</w:t>
      </w:r>
      <w:r>
        <w:t xml:space="preserve"> </w:t>
      </w:r>
      <w:r>
        <w:t xml:space="preserve">-</w:t>
      </w:r>
      <w:r>
        <w:t xml:space="preserve"> </w:t>
      </w:r>
      <w:r>
        <w:rPr>
          <w:bCs/>
          <w:b/>
        </w:rPr>
        <w:t xml:space="preserve">TREX DME</w:t>
      </w:r>
      <w:r>
        <w:t xml:space="preserve">: 1,849 fundus = 1,849 unique visit-eyes from 56 patients across 120 patient-eyes</w:t>
      </w:r>
      <w:r>
        <w:t xml:space="preserve"> </w:t>
      </w:r>
      <w:r>
        <w:t xml:space="preserve">-</w:t>
      </w:r>
      <w:r>
        <w:t xml:space="preserve"> </w:t>
      </w:r>
      <w:r>
        <w:rPr>
          <w:bCs/>
          <w:b/>
        </w:rPr>
        <w:t xml:space="preserve">Prime_FULL</w:t>
      </w:r>
      <w:r>
        <w:t xml:space="preserve">: 1,293 fundus = 1,293 unique visit-eyes from 40 patients across 84 patient-eyes</w:t>
      </w:r>
      <w:r>
        <w:t xml:space="preserve"> </w:t>
      </w:r>
      <w:r>
        <w:t xml:space="preserve">-</w:t>
      </w:r>
      <w:r>
        <w:t xml:space="preserve"> </w:t>
      </w:r>
      <w:r>
        <w:rPr>
          <w:bCs/>
          <w:b/>
        </w:rPr>
        <w:t xml:space="preserve">Combined</w:t>
      </w:r>
      <w:r>
        <w:t xml:space="preserve">: 96 unique patients (no overlap between trials)</w:t>
      </w:r>
    </w:p>
    <w:p>
      <w:pPr>
        <w:pStyle w:val="BodyText"/>
      </w:pPr>
      <w:r>
        <w:t xml:space="preserve">This exact match with the paper’s reported cohort provides strong validation of our preprocessing pipeline and gives the dissertation methods chapter a clean reference point.</w:t>
      </w:r>
    </w:p>
    <w:p>
      <w:r>
        <w:pict>
          <v:rect style="width:0;height:1.5pt" o:hralign="center" o:hrstd="t" o:hr="t"/>
        </w:pict>
      </w:r>
    </w:p>
    <w:bookmarkEnd w:id="30"/>
    <w:bookmarkEnd w:id="31"/>
    <w:bookmarkStart w:id="32" w:name="terminology-reference"/>
    <w:p>
      <w:pPr>
        <w:pStyle w:val="Heading2"/>
      </w:pPr>
      <w:r>
        <w:t xml:space="preserve">3. Terminology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Visit-eye</w:t>
            </w:r>
          </w:p>
        </w:tc>
        <w:tc>
          <w:tcPr/>
          <w:p>
            <w:pPr>
              <w:pStyle w:val="Compact"/>
              <w:jc w:val="left"/>
            </w:pPr>
            <w:r>
              <w:t xml:space="preserve">A single (patient, visit, eye) combination — the natural unit at which clinical and fundus data is captured. Format used as a 4-tuple key:</w:t>
            </w:r>
            <w:r>
              <w:t xml:space="preserve"> </w:t>
            </w:r>
            <w:r>
              <w:rPr>
                <w:rStyle w:val="VerbatimChar"/>
              </w:rPr>
              <w:t xml:space="preserve">(trial, patient_id, visit_id, eye)</w:t>
            </w:r>
            <w:r>
              <w:t xml:space="preserve">.</w:t>
            </w:r>
          </w:p>
        </w:tc>
      </w:tr>
      <w:tr>
        <w:tc>
          <w:tcPr/>
          <w:p>
            <w:pPr>
              <w:pStyle w:val="Compact"/>
              <w:jc w:val="left"/>
            </w:pPr>
            <w:r>
              <w:rPr>
                <w:bCs/>
                <w:b/>
              </w:rPr>
              <w:t xml:space="preserve">Patient-eye</w:t>
            </w:r>
          </w:p>
        </w:tc>
        <w:tc>
          <w:tcPr/>
          <w:p>
            <w:pPr>
              <w:pStyle w:val="Compact"/>
              <w:jc w:val="left"/>
            </w:pPr>
            <w:r>
              <w:t xml:space="preserve">A single (patient, eye) combination. There are 204 patient-eyes across our 96 patients, each contributing ~15.4 visit-eyes on average. The natural unit for patient-aware train/val/test splits.</w:t>
            </w:r>
          </w:p>
        </w:tc>
      </w:tr>
      <w:tr>
        <w:tc>
          <w:tcPr/>
          <w:p>
            <w:pPr>
              <w:pStyle w:val="Compact"/>
              <w:jc w:val="left"/>
            </w:pPr>
            <w:r>
              <w:rPr>
                <w:bCs/>
                <w:b/>
              </w:rPr>
              <w:t xml:space="preserve">Visit</w:t>
            </w:r>
          </w:p>
        </w:tc>
        <w:tc>
          <w:tcPr/>
          <w:p>
            <w:pPr>
              <w:pStyle w:val="Compact"/>
              <w:jc w:val="left"/>
            </w:pPr>
            <w:r>
              <w:t xml:space="preserve">A timepoint in the clinical trial schedule. Coded as</w:t>
            </w:r>
            <w:r>
              <w:t xml:space="preserve"> </w:t>
            </w:r>
            <w:r>
              <w:rPr>
                <w:rStyle w:val="VerbatimChar"/>
              </w:rPr>
              <w:t xml:space="preserve">V{n}</w:t>
            </w:r>
            <w:r>
              <w:t xml:space="preserve"> </w:t>
            </w:r>
            <w:r>
              <w:t xml:space="preserve">in TREX DME (e.g. V1, V14, V19) and</w:t>
            </w:r>
            <w:r>
              <w:t xml:space="preserve"> </w:t>
            </w:r>
            <w:r>
              <w:rPr>
                <w:rStyle w:val="VerbatimChar"/>
              </w:rPr>
              <w:t xml:space="preserve">W{n}</w:t>
            </w:r>
            <w:r>
              <w:t xml:space="preserve"> </w:t>
            </w:r>
            <w:r>
              <w:t xml:space="preserve">in Prime (e.g. W0, W36, W104).</w:t>
            </w:r>
          </w:p>
        </w:tc>
      </w:tr>
      <w:tr>
        <w:tc>
          <w:tcPr/>
          <w:p>
            <w:pPr>
              <w:pStyle w:val="Compact"/>
              <w:jc w:val="left"/>
            </w:pPr>
            <w:r>
              <w:rPr>
                <w:bCs/>
                <w:b/>
              </w:rPr>
              <w:t xml:space="preserve">Eye</w:t>
            </w:r>
          </w:p>
        </w:tc>
        <w:tc>
          <w:tcPr/>
          <w:p>
            <w:pPr>
              <w:pStyle w:val="Compact"/>
              <w:jc w:val="left"/>
            </w:pPr>
            <w:r>
              <w:t xml:space="preserve">OD (right eye) or OS (left eye). Each patient typically contributes both eyes.</w:t>
            </w:r>
          </w:p>
        </w:tc>
      </w:tr>
      <w:tr>
        <w:tc>
          <w:tcPr/>
          <w:p>
            <w:pPr>
              <w:pStyle w:val="Compact"/>
              <w:jc w:val="left"/>
            </w:pPr>
            <w:r>
              <w:rPr>
                <w:bCs/>
                <w:b/>
              </w:rPr>
              <w:t xml:space="preserve">Fundus image</w:t>
            </w:r>
          </w:p>
        </w:tc>
        <w:tc>
          <w:tcPr/>
          <w:p>
            <w:pPr>
              <w:pStyle w:val="Compact"/>
              <w:jc w:val="left"/>
            </w:pPr>
            <w:r>
              <w:t xml:space="preserve">Photograph of the back of the eye (retina). The primary imaging modality for this dissertation.</w:t>
            </w:r>
          </w:p>
        </w:tc>
      </w:tr>
      <w:tr>
        <w:tc>
          <w:tcPr/>
          <w:p>
            <w:pPr>
              <w:pStyle w:val="Compact"/>
              <w:jc w:val="left"/>
            </w:pPr>
            <w:r>
              <w:rPr>
                <w:bCs/>
                <w:b/>
              </w:rPr>
              <w:t xml:space="preserve">OCT B-scan</w:t>
            </w:r>
          </w:p>
        </w:tc>
        <w:tc>
          <w:tcPr/>
          <w:p>
            <w:pPr>
              <w:pStyle w:val="Compact"/>
              <w:jc w:val="left"/>
            </w:pPr>
            <w:r>
              <w:t xml:space="preserve">Optical Coherence Tomography cross-section. ~49 B-scans per visit-eye. Not used directly as model input but provides biomarker labels.</w:t>
            </w:r>
          </w:p>
        </w:tc>
      </w:tr>
      <w:tr>
        <w:tc>
          <w:tcPr/>
          <w:p>
            <w:pPr>
              <w:pStyle w:val="Compact"/>
              <w:jc w:val="left"/>
            </w:pPr>
            <w:r>
              <w:rPr>
                <w:bCs/>
                <w:b/>
              </w:rPr>
              <w:t xml:space="preserve">BCVA</w:t>
            </w:r>
          </w:p>
        </w:tc>
        <w:tc>
          <w:tcPr/>
          <w:p>
            <w:pPr>
              <w:pStyle w:val="Compact"/>
              <w:jc w:val="left"/>
            </w:pPr>
            <w:r>
              <w:t xml:space="preserve">Best Corrected Visual Acuity — letters read on an ETDRS chart (continuous, typically 0-100).</w:t>
            </w:r>
          </w:p>
        </w:tc>
      </w:tr>
      <w:tr>
        <w:tc>
          <w:tcPr/>
          <w:p>
            <w:pPr>
              <w:pStyle w:val="Compact"/>
              <w:jc w:val="left"/>
            </w:pPr>
            <w:r>
              <w:rPr>
                <w:bCs/>
                <w:b/>
              </w:rPr>
              <w:t xml:space="preserve">CST</w:t>
            </w:r>
          </w:p>
        </w:tc>
        <w:tc>
          <w:tcPr/>
          <w:p>
            <w:pPr>
              <w:pStyle w:val="Compact"/>
              <w:jc w:val="left"/>
            </w:pPr>
            <w:r>
              <w:t xml:space="preserve">Central Subfield Thickness — central retinal thickness in microns from OCT (continuous).</w:t>
            </w:r>
          </w:p>
        </w:tc>
      </w:tr>
      <w:tr>
        <w:tc>
          <w:tcPr/>
          <w:p>
            <w:pPr>
              <w:pStyle w:val="Compact"/>
              <w:jc w:val="left"/>
            </w:pPr>
            <w:r>
              <w:rPr>
                <w:bCs/>
                <w:b/>
              </w:rPr>
              <w:t xml:space="preserve">DR</w:t>
            </w:r>
          </w:p>
        </w:tc>
        <w:tc>
          <w:tcPr/>
          <w:p>
            <w:pPr>
              <w:pStyle w:val="Compact"/>
              <w:jc w:val="left"/>
            </w:pPr>
            <w:r>
              <w:t xml:space="preserve">Diabetic Retinopathy. Severity graded 0-4 (No DR / Mild / Moderate / Severe / Proliferative).</w:t>
            </w:r>
          </w:p>
        </w:tc>
      </w:tr>
      <w:tr>
        <w:tc>
          <w:tcPr/>
          <w:p>
            <w:pPr>
              <w:pStyle w:val="Compact"/>
              <w:jc w:val="left"/>
            </w:pPr>
            <w:r>
              <w:rPr>
                <w:bCs/>
                <w:b/>
              </w:rPr>
              <w:t xml:space="preserve">DME</w:t>
            </w:r>
          </w:p>
        </w:tc>
        <w:tc>
          <w:tcPr/>
          <w:p>
            <w:pPr>
              <w:pStyle w:val="Compact"/>
              <w:jc w:val="left"/>
            </w:pPr>
            <w:r>
              <w:t xml:space="preserve">Diabetic Macular Edema. Specific form of DR involving fluid accumulation. Targeted by TREX DME trial.</w:t>
            </w:r>
          </w:p>
        </w:tc>
      </w:tr>
      <w:tr>
        <w:tc>
          <w:tcPr/>
          <w:p>
            <w:pPr>
              <w:pStyle w:val="Compact"/>
              <w:jc w:val="left"/>
            </w:pPr>
            <w:r>
              <w:rPr>
                <w:bCs/>
                <w:b/>
              </w:rPr>
              <w:t xml:space="preserve">DRSS</w:t>
            </w:r>
          </w:p>
        </w:tc>
        <w:tc>
          <w:tcPr/>
          <w:p>
            <w:pPr>
              <w:pStyle w:val="Compact"/>
              <w:jc w:val="left"/>
            </w:pPr>
            <w:r>
              <w:t xml:space="preserve">Diabetic Retinopathy Severity Scale (also called ETDRS DR severity scale).</w:t>
            </w:r>
          </w:p>
        </w:tc>
      </w:tr>
      <w:tr>
        <w:tc>
          <w:tcPr/>
          <w:p>
            <w:pPr>
              <w:pStyle w:val="Compact"/>
              <w:jc w:val="left"/>
            </w:pPr>
            <w:r>
              <w:rPr>
                <w:bCs/>
                <w:b/>
              </w:rPr>
              <w:t xml:space="preserve">DRT/ME</w:t>
            </w:r>
          </w:p>
        </w:tc>
        <w:tc>
          <w:tcPr/>
          <w:p>
            <w:pPr>
              <w:pStyle w:val="Compact"/>
              <w:jc w:val="left"/>
            </w:pPr>
            <w:r>
              <w:t xml:space="preserve">Diabetic Retinal Thickening / Macular Edema. Biomarker label. Hallmark of DME.</w:t>
            </w:r>
          </w:p>
        </w:tc>
      </w:tr>
      <w:tr>
        <w:tc>
          <w:tcPr/>
          <w:p>
            <w:pPr>
              <w:pStyle w:val="Compact"/>
              <w:jc w:val="left"/>
            </w:pPr>
            <w:r>
              <w:rPr>
                <w:bCs/>
                <w:b/>
              </w:rPr>
              <w:t xml:space="preserve">IRF</w:t>
            </w:r>
          </w:p>
        </w:tc>
        <w:tc>
          <w:tcPr/>
          <w:p>
            <w:pPr>
              <w:pStyle w:val="Compact"/>
              <w:jc w:val="left"/>
            </w:pPr>
            <w:r>
              <w:t xml:space="preserve">Intra-Retinal Fluid. Biomarker label. Hallmark of DME.</w:t>
            </w:r>
          </w:p>
        </w:tc>
      </w:tr>
      <w:tr>
        <w:tc>
          <w:tcPr/>
          <w:p>
            <w:pPr>
              <w:pStyle w:val="Compact"/>
              <w:jc w:val="left"/>
            </w:pPr>
            <w:r>
              <w:rPr>
                <w:bCs/>
                <w:b/>
              </w:rPr>
              <w:t xml:space="preserve">SRF</w:t>
            </w:r>
          </w:p>
        </w:tc>
        <w:tc>
          <w:tcPr/>
          <w:p>
            <w:pPr>
              <w:pStyle w:val="Compact"/>
              <w:jc w:val="left"/>
            </w:pPr>
            <w:r>
              <w:t xml:space="preserve">Sub-Retinal Fluid. Biomarker label.</w:t>
            </w:r>
          </w:p>
        </w:tc>
      </w:tr>
      <w:tr>
        <w:tc>
          <w:tcPr/>
          <w:p>
            <w:pPr>
              <w:pStyle w:val="Compact"/>
              <w:jc w:val="left"/>
            </w:pPr>
            <w:r>
              <w:rPr>
                <w:bCs/>
                <w:b/>
              </w:rPr>
              <w:t xml:space="preserve">IR HRF</w:t>
            </w:r>
          </w:p>
        </w:tc>
        <w:tc>
          <w:tcPr/>
          <w:p>
            <w:pPr>
              <w:pStyle w:val="Compact"/>
              <w:jc w:val="left"/>
            </w:pPr>
            <w:r>
              <w:t xml:space="preserve">Intraretinal Hyperreflective Foci. Biomarker label. Common DR/DME imaging marker.</w:t>
            </w:r>
          </w:p>
        </w:tc>
      </w:tr>
      <w:tr>
        <w:tc>
          <w:tcPr/>
          <w:p>
            <w:pPr>
              <w:pStyle w:val="Compact"/>
              <w:jc w:val="left"/>
            </w:pPr>
            <w:r>
              <w:rPr>
                <w:bCs/>
                <w:b/>
              </w:rPr>
              <w:t xml:space="preserve">EZ Disruption</w:t>
            </w:r>
          </w:p>
        </w:tc>
        <w:tc>
          <w:tcPr/>
          <w:p>
            <w:pPr>
              <w:pStyle w:val="Compact"/>
              <w:jc w:val="left"/>
            </w:pPr>
            <w:r>
              <w:t xml:space="preserve">Disruption of the Ellipsoid Zone. Biomarker label. Photoreceptor layer integrity marker.</w:t>
            </w:r>
          </w:p>
        </w:tc>
      </w:tr>
      <w:tr>
        <w:tc>
          <w:tcPr/>
          <w:p>
            <w:pPr>
              <w:pStyle w:val="Compact"/>
              <w:jc w:val="left"/>
            </w:pPr>
            <w:r>
              <w:rPr>
                <w:bCs/>
                <w:b/>
              </w:rPr>
              <w:t xml:space="preserve">DRIL</w:t>
            </w:r>
          </w:p>
        </w:tc>
        <w:tc>
          <w:tcPr/>
          <w:p>
            <w:pPr>
              <w:pStyle w:val="Compact"/>
              <w:jc w:val="left"/>
            </w:pPr>
            <w:r>
              <w:t xml:space="preserve">Disorganisation of Retinal Inner Layers. Biomarker label.</w:t>
            </w:r>
          </w:p>
        </w:tc>
      </w:tr>
      <w:tr>
        <w:tc>
          <w:tcPr/>
          <w:p>
            <w:pPr>
              <w:pStyle w:val="Compact"/>
              <w:jc w:val="left"/>
            </w:pPr>
            <w:r>
              <w:rPr>
                <w:bCs/>
                <w:b/>
              </w:rPr>
              <w:t xml:space="preserve">VMT</w:t>
            </w:r>
          </w:p>
        </w:tc>
        <w:tc>
          <w:tcPr/>
          <w:p>
            <w:pPr>
              <w:pStyle w:val="Compact"/>
              <w:jc w:val="left"/>
            </w:pPr>
            <w:r>
              <w:t xml:space="preserve">Vitreomacular Traction. Biomarker label.</w:t>
            </w:r>
          </w:p>
        </w:tc>
      </w:tr>
      <w:tr>
        <w:tc>
          <w:tcPr/>
          <w:p>
            <w:pPr>
              <w:pStyle w:val="Compact"/>
              <w:jc w:val="left"/>
            </w:pPr>
            <w:r>
              <w:rPr>
                <w:bCs/>
                <w:b/>
              </w:rPr>
              <w:t xml:space="preserve">PED</w:t>
            </w:r>
          </w:p>
        </w:tc>
        <w:tc>
          <w:tcPr/>
          <w:p>
            <w:pPr>
              <w:pStyle w:val="Compact"/>
              <w:jc w:val="left"/>
            </w:pPr>
            <w:r>
              <w:t xml:space="preserve">Pigment Epithelial Detachment. Biomarker label.</w:t>
            </w:r>
          </w:p>
        </w:tc>
      </w:tr>
      <w:tr>
        <w:tc>
          <w:tcPr/>
          <w:p>
            <w:pPr>
              <w:pStyle w:val="Compact"/>
              <w:jc w:val="left"/>
            </w:pPr>
            <w:r>
              <w:rPr>
                <w:bCs/>
                <w:b/>
              </w:rPr>
              <w:t xml:space="preserve">SHRM</w:t>
            </w:r>
          </w:p>
        </w:tc>
        <w:tc>
          <w:tcPr/>
          <w:p>
            <w:pPr>
              <w:pStyle w:val="Compact"/>
              <w:jc w:val="left"/>
            </w:pPr>
            <w:r>
              <w:t xml:space="preserve">Subretinal Hyperreflective Material. Biomarker label.</w:t>
            </w:r>
          </w:p>
        </w:tc>
      </w:tr>
      <w:tr>
        <w:tc>
          <w:tcPr/>
          <w:p>
            <w:pPr>
              <w:pStyle w:val="Compact"/>
              <w:jc w:val="left"/>
            </w:pPr>
            <w:r>
              <w:rPr>
                <w:bCs/>
                <w:b/>
              </w:rPr>
              <w:t xml:space="preserve">Tier 0 / 1 / 2</w:t>
            </w:r>
          </w:p>
        </w:tc>
        <w:tc>
          <w:tcPr/>
          <w:p>
            <w:pPr>
              <w:pStyle w:val="Compact"/>
              <w:jc w:val="left"/>
            </w:pPr>
            <w:r>
              <w:t xml:space="preserve">Three levels of label availability adopted in this preprocessing — see section 4.</w:t>
            </w:r>
          </w:p>
        </w:tc>
      </w:tr>
      <w:tr>
        <w:tc>
          <w:tcPr/>
          <w:p>
            <w:pPr>
              <w:pStyle w:val="Compact"/>
              <w:jc w:val="left"/>
            </w:pPr>
            <w:r>
              <w:rPr>
                <w:bCs/>
                <w:b/>
              </w:rPr>
              <w:t xml:space="preserve">Field stop</w:t>
            </w:r>
          </w:p>
        </w:tc>
        <w:tc>
          <w:tcPr/>
          <w:p>
            <w:pPr>
              <w:pStyle w:val="Compact"/>
              <w:jc w:val="left"/>
            </w:pPr>
            <w:r>
              <w:t xml:space="preserve">Black perimeter of fundus images caused by the camera’s circular field of view. Common artefact in EyePACS.</w:t>
            </w:r>
          </w:p>
        </w:tc>
      </w:tr>
      <w:tr>
        <w:tc>
          <w:tcPr/>
          <w:p>
            <w:pPr>
              <w:pStyle w:val="Compact"/>
              <w:jc w:val="left"/>
            </w:pPr>
            <w:r>
              <w:rPr>
                <w:bCs/>
                <w:b/>
              </w:rPr>
              <w:t xml:space="preserve">Shared encoder</w:t>
            </w:r>
          </w:p>
        </w:tc>
        <w:tc>
          <w:tcPr/>
          <w:p>
            <w:pPr>
              <w:pStyle w:val="Compact"/>
              <w:jc w:val="left"/>
            </w:pPr>
            <w:r>
              <w:t xml:space="preserve">Single encoder network consuming both EyePACS and OLIVES inputs and projecting to a joint latent space. The architectural foundation for cross-dataset knowledge transfer.</w:t>
            </w:r>
          </w:p>
        </w:tc>
      </w:tr>
      <w:tr>
        <w:tc>
          <w:tcPr/>
          <w:p>
            <w:pPr>
              <w:pStyle w:val="Compact"/>
              <w:jc w:val="left"/>
            </w:pPr>
            <w:r>
              <w:rPr>
                <w:bCs/>
                <w:b/>
              </w:rPr>
              <w:t xml:space="preserve">Contrastive alignment</w:t>
            </w:r>
          </w:p>
        </w:tc>
        <w:tc>
          <w:tcPr/>
          <w:p>
            <w:pPr>
              <w:pStyle w:val="Compact"/>
              <w:jc w:val="left"/>
            </w:pPr>
            <w:r>
              <w:t xml:space="preserve">Training objective that pulls together latent representations of paired/related samples (e.g. same DR severity from different datasets) and pushes apart unrelated samples. Used in the shared encoder’s cross-dataset alignment loss.</w:t>
            </w:r>
          </w:p>
        </w:tc>
      </w:tr>
      <w:tr>
        <w:tc>
          <w:tcPr/>
          <w:p>
            <w:pPr>
              <w:pStyle w:val="Compact"/>
              <w:jc w:val="left"/>
            </w:pPr>
            <w:r>
              <w:rPr>
                <w:bCs/>
                <w:b/>
              </w:rPr>
              <w:t xml:space="preserve">Cosine similarity</w:t>
            </w:r>
          </w:p>
        </w:tc>
        <w:tc>
          <w:tcPr/>
          <w:p>
            <w:pPr>
              <w:pStyle w:val="Compact"/>
              <w:jc w:val="left"/>
            </w:pPr>
            <w:r>
              <w:t xml:space="preserve">Distance metric used for contrastive alignment. Compares angular similarity between latent vectors.</w:t>
            </w:r>
          </w:p>
        </w:tc>
      </w:tr>
      <w:tr>
        <w:tc>
          <w:tcPr/>
          <w:p>
            <w:pPr>
              <w:pStyle w:val="Compact"/>
              <w:jc w:val="left"/>
            </w:pPr>
            <w:r>
              <w:rPr>
                <w:bCs/>
                <w:b/>
              </w:rPr>
              <w:t xml:space="preserve">Hypercube</w:t>
            </w:r>
          </w:p>
        </w:tc>
        <w:tc>
          <w:tcPr/>
          <w:p>
            <w:pPr>
              <w:pStyle w:val="Compact"/>
              <w:jc w:val="left"/>
            </w:pPr>
            <w:r>
              <w:t xml:space="preserve">Term for the joint latent space into which both datasets project.</w:t>
            </w:r>
          </w:p>
        </w:tc>
      </w:tr>
      <w:tr>
        <w:tc>
          <w:tcPr/>
          <w:p>
            <w:pPr>
              <w:pStyle w:val="Compact"/>
              <w:jc w:val="left"/>
            </w:pPr>
            <w:r>
              <w:rPr>
                <w:bCs/>
                <w:b/>
              </w:rPr>
              <w:t xml:space="preserve">EyePACS</w:t>
            </w:r>
          </w:p>
        </w:tc>
        <w:tc>
          <w:tcPr/>
          <w:p>
            <w:pPr>
              <w:pStyle w:val="Compact"/>
              <w:jc w:val="left"/>
            </w:pPr>
            <w:r>
              <w:t xml:space="preserve">Public DR screening dataset (35K+ images). Used for shared encoder pretraining.</w:t>
            </w:r>
          </w:p>
        </w:tc>
      </w:tr>
      <w:tr>
        <w:tc>
          <w:tcPr/>
          <w:p>
            <w:pPr>
              <w:pStyle w:val="Compact"/>
              <w:jc w:val="left"/>
            </w:pPr>
            <w:r>
              <w:rPr>
                <w:bCs/>
                <w:b/>
              </w:rPr>
              <w:t xml:space="preserve">OLIVES</w:t>
            </w:r>
          </w:p>
        </w:tc>
        <w:tc>
          <w:tcPr/>
          <w:p>
            <w:pPr>
              <w:pStyle w:val="Compact"/>
              <w:jc w:val="left"/>
            </w:pPr>
            <w:r>
              <w:t xml:space="preserve">Multimodal retinal dataset combining fundus + OCT + clinical biomarkers from two clinical trials (TREX DME and Prime). Used for fusion/longitudinal modeling.</w:t>
            </w:r>
          </w:p>
        </w:tc>
      </w:tr>
      <w:tr>
        <w:tc>
          <w:tcPr/>
          <w:p>
            <w:pPr>
              <w:pStyle w:val="Compact"/>
              <w:jc w:val="left"/>
            </w:pPr>
            <w:r>
              <w:rPr>
                <w:bCs/>
                <w:b/>
              </w:rPr>
              <w:t xml:space="preserve">Sükei et al. (2024)</w:t>
            </w:r>
          </w:p>
        </w:tc>
        <w:tc>
          <w:tcPr/>
          <w:p>
            <w:pPr>
              <w:pStyle w:val="Compact"/>
              <w:jc w:val="left"/>
            </w:pPr>
            <w:r>
              <w:t xml:space="preserve">Baseline paper — SSL contrastive learning on OLIVES (Nature Scientific Reports).</w:t>
            </w:r>
          </w:p>
        </w:tc>
      </w:tr>
      <w:tr>
        <w:tc>
          <w:tcPr/>
          <w:p>
            <w:pPr>
              <w:pStyle w:val="Compact"/>
              <w:jc w:val="left"/>
            </w:pPr>
            <w:r>
              <w:rPr>
                <w:bCs/>
                <w:b/>
              </w:rPr>
              <w:t xml:space="preserve">Kokilepersaud et al. (2023)</w:t>
            </w:r>
          </w:p>
        </w:tc>
        <w:tc>
          <w:tcPr/>
          <w:p>
            <w:pPr>
              <w:pStyle w:val="Compact"/>
              <w:jc w:val="left"/>
            </w:pPr>
            <w:r>
              <w:t xml:space="preserve">Baseline paper — clinically-labelled contrastive learning.</w:t>
            </w:r>
          </w:p>
        </w:tc>
      </w:tr>
      <w:tr>
        <w:tc>
          <w:tcPr/>
          <w:p>
            <w:pPr>
              <w:pStyle w:val="Compact"/>
              <w:jc w:val="left"/>
            </w:pPr>
            <w:r>
              <w:rPr>
                <w:bCs/>
                <w:b/>
              </w:rPr>
              <w:t xml:space="preserve">MICCAI 2025 OT paper</w:t>
            </w:r>
          </w:p>
        </w:tc>
        <w:tc>
          <w:tcPr/>
          <w:p>
            <w:pPr>
              <w:pStyle w:val="Compact"/>
              <w:jc w:val="left"/>
            </w:pPr>
            <w:r>
              <w:t xml:space="preserve">Lan et al. baseline — Optimal Transport for missing modality fusion.</w:t>
            </w:r>
          </w:p>
        </w:tc>
      </w:tr>
    </w:tbl>
    <w:p>
      <w:r>
        <w:pict>
          <v:rect style="width:0;height:1.5pt" o:hralign="center" o:hrstd="t" o:hr="t"/>
        </w:pict>
      </w:r>
    </w:p>
    <w:bookmarkEnd w:id="32"/>
    <w:bookmarkStart w:id="36" w:name="X37b4eafd23ca0643b5bbe70b9f1fc3686abb7a4"/>
    <w:p>
      <w:pPr>
        <w:pStyle w:val="Heading2"/>
      </w:pPr>
      <w:r>
        <w:t xml:space="preserve">4. The three-tier label structure (preprocessing logic)</w:t>
      </w:r>
    </w:p>
    <w:bookmarkStart w:id="33" w:name="why-three-tiers"/>
    <w:p>
      <w:pPr>
        <w:pStyle w:val="Heading3"/>
      </w:pPr>
      <w:r>
        <w:t xml:space="preserve">4.1 Why three tiers</w:t>
      </w:r>
    </w:p>
    <w:p>
      <w:pPr>
        <w:pStyle w:val="FirstParagraph"/>
      </w:pPr>
      <w:r>
        <w:t xml:space="preserve">OLIVES image-level supervision is genuinely tiered. Different fundus images have different levels of label availability, and the preprocessing must preserve all images regardless of label coverage to maximise data utility for self-supervised contrastive pretraining.</w:t>
      </w:r>
    </w:p>
    <w:p>
      <w:pPr>
        <w:pStyle w:val="BodyText"/>
      </w:pPr>
      <w:r>
        <w:rPr>
          <w:bCs/>
          <w:b/>
        </w:rPr>
        <w:t xml:space="preserve">Final tier breakdown (3,142 total samples post-dedup):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Count</w:t>
            </w:r>
          </w:p>
        </w:tc>
        <w:tc>
          <w:tcPr/>
          <w:p>
            <w:pPr>
              <w:pStyle w:val="Compact"/>
              <w:jc w:val="left"/>
            </w:pPr>
            <w:r>
              <w:t xml:space="preserve">% of total</w:t>
            </w:r>
          </w:p>
        </w:tc>
        <w:tc>
          <w:tcPr/>
          <w:p>
            <w:pPr>
              <w:pStyle w:val="Compact"/>
              <w:jc w:val="left"/>
            </w:pPr>
            <w:r>
              <w:t xml:space="preserve">Primary use</w:t>
            </w:r>
          </w:p>
        </w:tc>
      </w:tr>
      <w:tr>
        <w:tc>
          <w:tcPr/>
          <w:p>
            <w:pPr>
              <w:pStyle w:val="Compact"/>
              <w:jc w:val="left"/>
            </w:pPr>
            <w:r>
              <w:rPr>
                <w:bCs/>
                <w:b/>
              </w:rPr>
              <w:t xml:space="preserve">Tier 0</w:t>
            </w:r>
          </w:p>
        </w:tc>
        <w:tc>
          <w:tcPr/>
          <w:p>
            <w:pPr>
              <w:pStyle w:val="Compact"/>
              <w:jc w:val="left"/>
            </w:pPr>
            <w:r>
              <w:t xml:space="preserve">Fundus image only — no clinical, no biomarker labels</w:t>
            </w:r>
          </w:p>
        </w:tc>
        <w:tc>
          <w:tcPr/>
          <w:p>
            <w:pPr>
              <w:pStyle w:val="Compact"/>
              <w:jc w:val="left"/>
            </w:pPr>
            <w:r>
              <w:t xml:space="preserve">1,546</w:t>
            </w:r>
          </w:p>
        </w:tc>
        <w:tc>
          <w:tcPr/>
          <w:p>
            <w:pPr>
              <w:pStyle w:val="Compact"/>
              <w:jc w:val="left"/>
            </w:pPr>
            <w:r>
              <w:t xml:space="preserve">49.2%</w:t>
            </w:r>
          </w:p>
        </w:tc>
        <w:tc>
          <w:tcPr/>
          <w:p>
            <w:pPr>
              <w:pStyle w:val="Compact"/>
              <w:jc w:val="left"/>
            </w:pPr>
            <w:r>
              <w:t xml:space="preserve">SSL contrastive pretraining for the shared encoder</w:t>
            </w:r>
          </w:p>
        </w:tc>
      </w:tr>
      <w:tr>
        <w:tc>
          <w:tcPr/>
          <w:p>
            <w:pPr>
              <w:pStyle w:val="Compact"/>
              <w:jc w:val="left"/>
            </w:pPr>
            <w:r>
              <w:rPr>
                <w:bCs/>
                <w:b/>
              </w:rPr>
              <w:t xml:space="preserve">Tier 1</w:t>
            </w:r>
          </w:p>
        </w:tc>
        <w:tc>
          <w:tcPr/>
          <w:p>
            <w:pPr>
              <w:pStyle w:val="Compact"/>
              <w:jc w:val="left"/>
            </w:pPr>
            <w:r>
              <w:t xml:space="preserve">Tier 0 + BCVA + CST clinical regression labels</w:t>
            </w:r>
          </w:p>
        </w:tc>
        <w:tc>
          <w:tcPr/>
          <w:p>
            <w:pPr>
              <w:pStyle w:val="Compact"/>
              <w:jc w:val="left"/>
            </w:pPr>
            <w:r>
              <w:t xml:space="preserve">1,404</w:t>
            </w:r>
          </w:p>
        </w:tc>
        <w:tc>
          <w:tcPr/>
          <w:p>
            <w:pPr>
              <w:pStyle w:val="Compact"/>
              <w:jc w:val="left"/>
            </w:pPr>
            <w:r>
              <w:t xml:space="preserve">44.7%</w:t>
            </w:r>
          </w:p>
        </w:tc>
        <w:tc>
          <w:tcPr/>
          <w:p>
            <w:pPr>
              <w:pStyle w:val="Compact"/>
              <w:jc w:val="left"/>
            </w:pPr>
            <w:r>
              <w:t xml:space="preserve">+ Longitudinal prognosis regression</w:t>
            </w:r>
          </w:p>
        </w:tc>
      </w:tr>
      <w:tr>
        <w:tc>
          <w:tcPr/>
          <w:p>
            <w:pPr>
              <w:pStyle w:val="Compact"/>
              <w:jc w:val="left"/>
            </w:pPr>
            <w:r>
              <w:rPr>
                <w:bCs/>
                <w:b/>
              </w:rPr>
              <w:t xml:space="preserve">Tier 2</w:t>
            </w:r>
          </w:p>
        </w:tc>
        <w:tc>
          <w:tcPr/>
          <w:p>
            <w:pPr>
              <w:pStyle w:val="Compact"/>
              <w:jc w:val="left"/>
            </w:pPr>
            <w:r>
              <w:t xml:space="preserve">Tier 1 + 16 biomarker labels</w:t>
            </w:r>
          </w:p>
        </w:tc>
        <w:tc>
          <w:tcPr/>
          <w:p>
            <w:pPr>
              <w:pStyle w:val="Compact"/>
              <w:jc w:val="left"/>
            </w:pPr>
            <w:r>
              <w:t xml:space="preserve">190</w:t>
            </w:r>
          </w:p>
        </w:tc>
        <w:tc>
          <w:tcPr/>
          <w:p>
            <w:pPr>
              <w:pStyle w:val="Compact"/>
              <w:jc w:val="left"/>
            </w:pPr>
            <w:r>
              <w:t xml:space="preserve">6.0%</w:t>
            </w:r>
          </w:p>
        </w:tc>
        <w:tc>
          <w:tcPr/>
          <w:p>
            <w:pPr>
              <w:pStyle w:val="Compact"/>
              <w:jc w:val="left"/>
            </w:pPr>
            <w:r>
              <w:t xml:space="preserve">+ Biomarker classification head</w:t>
            </w:r>
          </w:p>
        </w:tc>
      </w:tr>
      <w:tr>
        <w:tc>
          <w:tcPr/>
          <w:p>
            <w:pPr>
              <w:pStyle w:val="Compact"/>
              <w:jc w:val="left"/>
            </w:pPr>
            <w:r>
              <w:rPr>
                <w:bCs/>
                <w:b/>
              </w:rPr>
              <w:t xml:space="preserve">Anomalous</w:t>
            </w:r>
          </w:p>
        </w:tc>
        <w:tc>
          <w:tcPr/>
          <w:p>
            <w:pPr>
              <w:pStyle w:val="Compact"/>
              <w:jc w:val="left"/>
            </w:pPr>
            <w:r>
              <w:t xml:space="preserve">Biomarker labels but NOT clinical (edge case)</w:t>
            </w:r>
          </w:p>
        </w:tc>
        <w:tc>
          <w:tcPr/>
          <w:p>
            <w:pPr>
              <w:pStyle w:val="Compact"/>
              <w:jc w:val="left"/>
            </w:pPr>
            <w:r>
              <w:t xml:space="preserve">2</w:t>
            </w:r>
          </w:p>
        </w:tc>
        <w:tc>
          <w:tcPr/>
          <w:p>
            <w:pPr>
              <w:pStyle w:val="Compact"/>
              <w:jc w:val="left"/>
            </w:pPr>
            <w:r>
              <w:t xml:space="preserve">0.06%</w:t>
            </w:r>
          </w:p>
        </w:tc>
        <w:tc>
          <w:tcPr/>
          <w:p>
            <w:pPr>
              <w:pStyle w:val="Compact"/>
              <w:jc w:val="left"/>
            </w:pPr>
            <w:r>
              <w:t xml:space="preserve">Masked appropriately by training</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3,142</w:t>
            </w:r>
          </w:p>
        </w:tc>
        <w:tc>
          <w:tcPr/>
          <w:p>
            <w:pPr>
              <w:pStyle w:val="Compact"/>
              <w:jc w:val="left"/>
            </w:pPr>
            <w:r>
              <w:t xml:space="preserve">100%</w:t>
            </w:r>
          </w:p>
        </w:tc>
        <w:tc>
          <w:tcPr/>
          <w:p>
            <w:pPr>
              <w:pStyle w:val="Compact"/>
            </w:pPr>
          </w:p>
        </w:tc>
      </w:tr>
    </w:tbl>
    <w:bookmarkEnd w:id="33"/>
    <w:bookmarkStart w:id="34" w:name="X7b7016adb55ba4f195136b11ec37373fb593a94"/>
    <w:p>
      <w:pPr>
        <w:pStyle w:val="Heading3"/>
      </w:pPr>
      <w:r>
        <w:t xml:space="preserve">4.2 The 16 biomarker columns (full list, post-dedup)</w:t>
      </w:r>
    </w:p>
    <w:p>
      <w:pPr>
        <w:pStyle w:val="FirstParagraph"/>
      </w:pPr>
      <w:r>
        <w:rPr>
          <w:bCs/>
          <w:b/>
        </w:rPr>
        <w:t xml:space="preserve">Final positive counts after both dedup fixes (192 tier-2 samples)</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Biomarker</w:t>
            </w:r>
          </w:p>
        </w:tc>
        <w:tc>
          <w:tcPr/>
          <w:p>
            <w:pPr>
              <w:pStyle w:val="Compact"/>
              <w:jc w:val="left"/>
            </w:pPr>
            <w:r>
              <w:t xml:space="preserve">Tier-2 positives</w:t>
            </w:r>
          </w:p>
        </w:tc>
        <w:tc>
          <w:tcPr/>
          <w:p>
            <w:pPr>
              <w:pStyle w:val="Compact"/>
              <w:jc w:val="left"/>
            </w:pPr>
            <w:r>
              <w:t xml:space="preserv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Atrophy / thinning of retinal layers</w:t>
            </w:r>
          </w:p>
        </w:tc>
        <w:tc>
          <w:tcPr/>
          <w:p>
            <w:pPr>
              <w:pStyle w:val="Compact"/>
              <w:jc w:val="left"/>
            </w:pPr>
            <w:r>
              <w:t xml:space="preserve">17</w:t>
            </w:r>
          </w:p>
        </w:tc>
        <w:tc>
          <w:tcPr/>
          <w:p>
            <w:pPr>
              <w:pStyle w:val="Compact"/>
              <w:jc w:val="left"/>
            </w:pPr>
            <w:r>
              <w:t xml:space="preserve">8.9%</w:t>
            </w:r>
          </w:p>
        </w:tc>
        <w:tc>
          <w:tcPr/>
          <w:p>
            <w:pPr>
              <w:pStyle w:val="Compact"/>
              <w:jc w:val="left"/>
            </w:pPr>
            <w:r>
              <w:t xml:space="preserve">Sparse</w:t>
            </w:r>
          </w:p>
        </w:tc>
      </w:tr>
      <w:tr>
        <w:tc>
          <w:tcPr/>
          <w:p>
            <w:pPr>
              <w:pStyle w:val="Compact"/>
              <w:jc w:val="left"/>
            </w:pPr>
            <w:r>
              <w:t xml:space="preserve">2</w:t>
            </w:r>
          </w:p>
        </w:tc>
        <w:tc>
          <w:tcPr/>
          <w:p>
            <w:pPr>
              <w:pStyle w:val="Compact"/>
              <w:jc w:val="left"/>
            </w:pPr>
            <w:r>
              <w:t xml:space="preserve">Disruption of EZ</w:t>
            </w:r>
          </w:p>
        </w:tc>
        <w:tc>
          <w:tcPr/>
          <w:p>
            <w:pPr>
              <w:pStyle w:val="Compact"/>
              <w:jc w:val="left"/>
            </w:pPr>
            <w:r>
              <w:t xml:space="preserve">68</w:t>
            </w:r>
          </w:p>
        </w:tc>
        <w:tc>
          <w:tcPr/>
          <w:p>
            <w:pPr>
              <w:pStyle w:val="Compact"/>
              <w:jc w:val="left"/>
            </w:pPr>
            <w:r>
              <w:t xml:space="preserve">35.4%</w:t>
            </w:r>
          </w:p>
        </w:tc>
        <w:tc>
          <w:tcPr/>
          <w:p>
            <w:pPr>
              <w:pStyle w:val="Compact"/>
              <w:jc w:val="left"/>
            </w:pPr>
            <w:r>
              <w:t xml:space="preserve">Useful (partly OCT)</w:t>
            </w:r>
          </w:p>
        </w:tc>
      </w:tr>
      <w:tr>
        <w:tc>
          <w:tcPr/>
          <w:p>
            <w:pPr>
              <w:pStyle w:val="Compact"/>
              <w:jc w:val="left"/>
            </w:pPr>
            <w:r>
              <w:t xml:space="preserve">3</w:t>
            </w:r>
          </w:p>
        </w:tc>
        <w:tc>
          <w:tcPr/>
          <w:p>
            <w:pPr>
              <w:pStyle w:val="Compact"/>
              <w:jc w:val="left"/>
            </w:pPr>
            <w:r>
              <w:t xml:space="preserve">DRIL</w:t>
            </w:r>
          </w:p>
        </w:tc>
        <w:tc>
          <w:tcPr/>
          <w:p>
            <w:pPr>
              <w:pStyle w:val="Compact"/>
              <w:jc w:val="left"/>
            </w:pPr>
            <w:r>
              <w:t xml:space="preserve">5</w:t>
            </w:r>
          </w:p>
        </w:tc>
        <w:tc>
          <w:tcPr/>
          <w:p>
            <w:pPr>
              <w:pStyle w:val="Compact"/>
              <w:jc w:val="left"/>
            </w:pPr>
            <w:r>
              <w:t xml:space="preserve">2.6%</w:t>
            </w:r>
          </w:p>
        </w:tc>
        <w:tc>
          <w:tcPr/>
          <w:p>
            <w:pPr>
              <w:pStyle w:val="Compact"/>
              <w:jc w:val="left"/>
            </w:pPr>
            <w:r>
              <w:t xml:space="preserve">Too sparse</w:t>
            </w:r>
          </w:p>
        </w:tc>
      </w:tr>
      <w:tr>
        <w:tc>
          <w:tcPr/>
          <w:p>
            <w:pPr>
              <w:pStyle w:val="Compact"/>
              <w:jc w:val="left"/>
            </w:pPr>
            <w:r>
              <w:t xml:space="preserve">4</w:t>
            </w:r>
          </w:p>
        </w:tc>
        <w:tc>
          <w:tcPr/>
          <w:p>
            <w:pPr>
              <w:pStyle w:val="Compact"/>
              <w:jc w:val="left"/>
            </w:pPr>
            <w:r>
              <w:t xml:space="preserve">IR hemorrhages</w:t>
            </w:r>
          </w:p>
        </w:tc>
        <w:tc>
          <w:tcPr/>
          <w:p>
            <w:pPr>
              <w:pStyle w:val="Compact"/>
              <w:jc w:val="left"/>
            </w:pPr>
            <w:r>
              <w:t xml:space="preserve">67</w:t>
            </w:r>
          </w:p>
        </w:tc>
        <w:tc>
          <w:tcPr/>
          <w:p>
            <w:pPr>
              <w:pStyle w:val="Compact"/>
              <w:jc w:val="left"/>
            </w:pPr>
            <w:r>
              <w:t xml:space="preserve">34.9%</w:t>
            </w:r>
          </w:p>
        </w:tc>
        <w:tc>
          <w:tcPr/>
          <w:p>
            <w:pPr>
              <w:pStyle w:val="Compact"/>
              <w:jc w:val="left"/>
            </w:pPr>
            <w:r>
              <w:rPr>
                <w:bCs/>
                <w:b/>
              </w:rPr>
              <w:t xml:space="preserve">Useful, fundus-visible</w:t>
            </w:r>
          </w:p>
        </w:tc>
      </w:tr>
      <w:tr>
        <w:tc>
          <w:tcPr/>
          <w:p>
            <w:pPr>
              <w:pStyle w:val="Compact"/>
              <w:jc w:val="left"/>
            </w:pPr>
            <w:r>
              <w:t xml:space="preserve">5</w:t>
            </w:r>
          </w:p>
        </w:tc>
        <w:tc>
          <w:tcPr/>
          <w:p>
            <w:pPr>
              <w:pStyle w:val="Compact"/>
              <w:jc w:val="left"/>
            </w:pPr>
            <w:r>
              <w:t xml:space="preserve">IR HRF</w:t>
            </w:r>
          </w:p>
        </w:tc>
        <w:tc>
          <w:tcPr/>
          <w:p>
            <w:pPr>
              <w:pStyle w:val="Compact"/>
              <w:jc w:val="left"/>
            </w:pPr>
            <w:r>
              <w:t xml:space="preserve">192</w:t>
            </w:r>
          </w:p>
        </w:tc>
        <w:tc>
          <w:tcPr/>
          <w:p>
            <w:pPr>
              <w:pStyle w:val="Compact"/>
              <w:jc w:val="left"/>
            </w:pPr>
            <w:r>
              <w:t xml:space="preserve">100.0%</w:t>
            </w:r>
          </w:p>
        </w:tc>
        <w:tc>
          <w:tcPr/>
          <w:p>
            <w:pPr>
              <w:pStyle w:val="Compact"/>
              <w:jc w:val="left"/>
            </w:pPr>
            <w:r>
              <w:rPr>
                <w:bCs/>
                <w:b/>
              </w:rPr>
              <w:t xml:space="preserve">SATURATED — drop</w:t>
            </w:r>
          </w:p>
        </w:tc>
      </w:tr>
      <w:tr>
        <w:tc>
          <w:tcPr/>
          <w:p>
            <w:pPr>
              <w:pStyle w:val="Compact"/>
              <w:jc w:val="left"/>
            </w:pPr>
            <w:r>
              <w:t xml:space="preserve">6</w:t>
            </w:r>
          </w:p>
        </w:tc>
        <w:tc>
          <w:tcPr/>
          <w:p>
            <w:pPr>
              <w:pStyle w:val="Compact"/>
              <w:jc w:val="left"/>
            </w:pPr>
            <w:r>
              <w:t xml:space="preserve">Partially attached vitreous face</w:t>
            </w:r>
          </w:p>
        </w:tc>
        <w:tc>
          <w:tcPr/>
          <w:p>
            <w:pPr>
              <w:pStyle w:val="Compact"/>
              <w:jc w:val="left"/>
            </w:pPr>
            <w:r>
              <w:t xml:space="preserve">110</w:t>
            </w:r>
          </w:p>
        </w:tc>
        <w:tc>
          <w:tcPr/>
          <w:p>
            <w:pPr>
              <w:pStyle w:val="Compact"/>
              <w:jc w:val="left"/>
            </w:pPr>
            <w:r>
              <w:t xml:space="preserve">57.3%</w:t>
            </w:r>
          </w:p>
        </w:tc>
        <w:tc>
          <w:tcPr/>
          <w:p>
            <w:pPr>
              <w:pStyle w:val="Compact"/>
              <w:jc w:val="left"/>
            </w:pPr>
            <w:r>
              <w:t xml:space="preserve">High signal (OCT-derived)</w:t>
            </w:r>
          </w:p>
        </w:tc>
      </w:tr>
      <w:tr>
        <w:tc>
          <w:tcPr/>
          <w:p>
            <w:pPr>
              <w:pStyle w:val="Compact"/>
              <w:jc w:val="left"/>
            </w:pPr>
            <w:r>
              <w:t xml:space="preserve">7</w:t>
            </w:r>
          </w:p>
        </w:tc>
        <w:tc>
          <w:tcPr/>
          <w:p>
            <w:pPr>
              <w:pStyle w:val="Compact"/>
              <w:jc w:val="left"/>
            </w:pPr>
            <w:r>
              <w:t xml:space="preserve">Fully attached vitreous face</w:t>
            </w:r>
          </w:p>
        </w:tc>
        <w:tc>
          <w:tcPr/>
          <w:p>
            <w:pPr>
              <w:pStyle w:val="Compact"/>
              <w:jc w:val="left"/>
            </w:pPr>
            <w:r>
              <w:t xml:space="preserve">134</w:t>
            </w:r>
          </w:p>
        </w:tc>
        <w:tc>
          <w:tcPr/>
          <w:p>
            <w:pPr>
              <w:pStyle w:val="Compact"/>
              <w:jc w:val="left"/>
            </w:pPr>
            <w:r>
              <w:t xml:space="preserve">69.8%</w:t>
            </w:r>
          </w:p>
        </w:tc>
        <w:tc>
          <w:tcPr/>
          <w:p>
            <w:pPr>
              <w:pStyle w:val="Compact"/>
              <w:jc w:val="left"/>
            </w:pPr>
            <w:r>
              <w:t xml:space="preserve">High signal (OCT-derived)</w:t>
            </w:r>
          </w:p>
        </w:tc>
      </w:tr>
      <w:tr>
        <w:tc>
          <w:tcPr/>
          <w:p>
            <w:pPr>
              <w:pStyle w:val="Compact"/>
              <w:jc w:val="left"/>
            </w:pPr>
            <w:r>
              <w:t xml:space="preserve">8</w:t>
            </w:r>
          </w:p>
        </w:tc>
        <w:tc>
          <w:tcPr/>
          <w:p>
            <w:pPr>
              <w:pStyle w:val="Compact"/>
              <w:jc w:val="left"/>
            </w:pPr>
            <w:r>
              <w:t xml:space="preserve">Preretinal tissue/hemorrhage</w:t>
            </w:r>
          </w:p>
        </w:tc>
        <w:tc>
          <w:tcPr/>
          <w:p>
            <w:pPr>
              <w:pStyle w:val="Compact"/>
              <w:jc w:val="left"/>
            </w:pPr>
            <w:r>
              <w:t xml:space="preserve">48</w:t>
            </w:r>
          </w:p>
        </w:tc>
        <w:tc>
          <w:tcPr/>
          <w:p>
            <w:pPr>
              <w:pStyle w:val="Compact"/>
              <w:jc w:val="left"/>
            </w:pPr>
            <w:r>
              <w:t xml:space="preserve">25.0%</w:t>
            </w:r>
          </w:p>
        </w:tc>
        <w:tc>
          <w:tcPr/>
          <w:p>
            <w:pPr>
              <w:pStyle w:val="Compact"/>
              <w:jc w:val="left"/>
            </w:pPr>
            <w:r>
              <w:t xml:space="preserve">Useful</w:t>
            </w:r>
          </w:p>
        </w:tc>
      </w:tr>
      <w:tr>
        <w:tc>
          <w:tcPr/>
          <w:p>
            <w:pPr>
              <w:pStyle w:val="Compact"/>
              <w:jc w:val="left"/>
            </w:pPr>
            <w:r>
              <w:t xml:space="preserve">9</w:t>
            </w:r>
          </w:p>
        </w:tc>
        <w:tc>
          <w:tcPr/>
          <w:p>
            <w:pPr>
              <w:pStyle w:val="Compact"/>
              <w:jc w:val="left"/>
            </w:pPr>
            <w:r>
              <w:t xml:space="preserve">Vitreous debris</w:t>
            </w:r>
          </w:p>
        </w:tc>
        <w:tc>
          <w:tcPr/>
          <w:p>
            <w:pPr>
              <w:pStyle w:val="Compact"/>
              <w:jc w:val="left"/>
            </w:pPr>
            <w:r>
              <w:t xml:space="preserve">164</w:t>
            </w:r>
          </w:p>
        </w:tc>
        <w:tc>
          <w:tcPr/>
          <w:p>
            <w:pPr>
              <w:pStyle w:val="Compact"/>
              <w:jc w:val="left"/>
            </w:pPr>
            <w:r>
              <w:t xml:space="preserve">85.4%</w:t>
            </w:r>
          </w:p>
        </w:tc>
        <w:tc>
          <w:tcPr/>
          <w:p>
            <w:pPr>
              <w:pStyle w:val="Compact"/>
              <w:jc w:val="left"/>
            </w:pPr>
            <w:r>
              <w:t xml:space="preserve">High signal (OCT-derived)</w:t>
            </w:r>
          </w:p>
        </w:tc>
      </w:tr>
      <w:tr>
        <w:tc>
          <w:tcPr/>
          <w:p>
            <w:pPr>
              <w:pStyle w:val="Compact"/>
              <w:jc w:val="left"/>
            </w:pPr>
            <w:r>
              <w:t xml:space="preserve">10</w:t>
            </w:r>
          </w:p>
        </w:tc>
        <w:tc>
          <w:tcPr/>
          <w:p>
            <w:pPr>
              <w:pStyle w:val="Compact"/>
              <w:jc w:val="left"/>
            </w:pPr>
            <w:r>
              <w:t xml:space="preserve">VMT</w:t>
            </w:r>
          </w:p>
        </w:tc>
        <w:tc>
          <w:tcPr/>
          <w:p>
            <w:pPr>
              <w:pStyle w:val="Compact"/>
              <w:jc w:val="left"/>
            </w:pPr>
            <w:r>
              <w:t xml:space="preserve">3</w:t>
            </w:r>
          </w:p>
        </w:tc>
        <w:tc>
          <w:tcPr/>
          <w:p>
            <w:pPr>
              <w:pStyle w:val="Compact"/>
              <w:jc w:val="left"/>
            </w:pPr>
            <w:r>
              <w:t xml:space="preserve">1.6%</w:t>
            </w:r>
          </w:p>
        </w:tc>
        <w:tc>
          <w:tcPr/>
          <w:p>
            <w:pPr>
              <w:pStyle w:val="Compact"/>
              <w:jc w:val="left"/>
            </w:pPr>
            <w:r>
              <w:t xml:space="preserve">Too sparse</w:t>
            </w:r>
          </w:p>
        </w:tc>
      </w:tr>
      <w:tr>
        <w:tc>
          <w:tcPr/>
          <w:p>
            <w:pPr>
              <w:pStyle w:val="Compact"/>
              <w:jc w:val="left"/>
            </w:pPr>
            <w:r>
              <w:t xml:space="preserve">11</w:t>
            </w:r>
          </w:p>
        </w:tc>
        <w:tc>
          <w:tcPr/>
          <w:p>
            <w:pPr>
              <w:pStyle w:val="Compact"/>
              <w:jc w:val="left"/>
            </w:pPr>
            <w:r>
              <w:t xml:space="preserve">DRT/ME</w:t>
            </w:r>
          </w:p>
        </w:tc>
        <w:tc>
          <w:tcPr/>
          <w:p>
            <w:pPr>
              <w:pStyle w:val="Compact"/>
              <w:jc w:val="left"/>
            </w:pPr>
            <w:r>
              <w:t xml:space="preserve">114</w:t>
            </w:r>
          </w:p>
        </w:tc>
        <w:tc>
          <w:tcPr/>
          <w:p>
            <w:pPr>
              <w:pStyle w:val="Compact"/>
              <w:jc w:val="left"/>
            </w:pPr>
            <w:r>
              <w:t xml:space="preserve">59.4%</w:t>
            </w:r>
          </w:p>
        </w:tc>
        <w:tc>
          <w:tcPr/>
          <w:p>
            <w:pPr>
              <w:pStyle w:val="Compact"/>
              <w:jc w:val="left"/>
            </w:pPr>
            <w:r>
              <w:rPr>
                <w:bCs/>
                <w:b/>
              </w:rPr>
              <w:t xml:space="preserve">Useful, fundus-visible, clinically critical</w:t>
            </w:r>
          </w:p>
        </w:tc>
      </w:tr>
      <w:tr>
        <w:tc>
          <w:tcPr/>
          <w:p>
            <w:pPr>
              <w:pStyle w:val="Compact"/>
              <w:jc w:val="left"/>
            </w:pPr>
            <w:r>
              <w:t xml:space="preserve">12</w:t>
            </w:r>
          </w:p>
        </w:tc>
        <w:tc>
          <w:tcPr/>
          <w:p>
            <w:pPr>
              <w:pStyle w:val="Compact"/>
              <w:jc w:val="left"/>
            </w:pPr>
            <w:r>
              <w:t xml:space="preserve">Fluid (IRF)</w:t>
            </w:r>
          </w:p>
        </w:tc>
        <w:tc>
          <w:tcPr/>
          <w:p>
            <w:pPr>
              <w:pStyle w:val="Compact"/>
              <w:jc w:val="left"/>
            </w:pPr>
            <w:r>
              <w:t xml:space="preserve">174</w:t>
            </w:r>
          </w:p>
        </w:tc>
        <w:tc>
          <w:tcPr/>
          <w:p>
            <w:pPr>
              <w:pStyle w:val="Compact"/>
              <w:jc w:val="left"/>
            </w:pPr>
            <w:r>
              <w:t xml:space="preserve">90.6%</w:t>
            </w:r>
          </w:p>
        </w:tc>
        <w:tc>
          <w:tcPr/>
          <w:p>
            <w:pPr>
              <w:pStyle w:val="Compact"/>
              <w:jc w:val="left"/>
            </w:pPr>
            <w:r>
              <w:rPr>
                <w:bCs/>
                <w:b/>
              </w:rPr>
              <w:t xml:space="preserve">High signal, fundus-visible, clinically critical</w:t>
            </w:r>
          </w:p>
        </w:tc>
      </w:tr>
      <w:tr>
        <w:tc>
          <w:tcPr/>
          <w:p>
            <w:pPr>
              <w:pStyle w:val="Compact"/>
              <w:jc w:val="left"/>
            </w:pPr>
            <w:r>
              <w:t xml:space="preserve">13</w:t>
            </w:r>
          </w:p>
        </w:tc>
        <w:tc>
          <w:tcPr/>
          <w:p>
            <w:pPr>
              <w:pStyle w:val="Compact"/>
              <w:jc w:val="left"/>
            </w:pPr>
            <w:r>
              <w:t xml:space="preserve">Fluid (SRF)</w:t>
            </w:r>
          </w:p>
        </w:tc>
        <w:tc>
          <w:tcPr/>
          <w:p>
            <w:pPr>
              <w:pStyle w:val="Compact"/>
              <w:jc w:val="left"/>
            </w:pPr>
            <w:r>
              <w:t xml:space="preserve">29</w:t>
            </w:r>
          </w:p>
        </w:tc>
        <w:tc>
          <w:tcPr/>
          <w:p>
            <w:pPr>
              <w:pStyle w:val="Compact"/>
              <w:jc w:val="left"/>
            </w:pPr>
            <w:r>
              <w:t xml:space="preserve">15.1%</w:t>
            </w:r>
          </w:p>
        </w:tc>
        <w:tc>
          <w:tcPr/>
          <w:p>
            <w:pPr>
              <w:pStyle w:val="Compact"/>
              <w:jc w:val="left"/>
            </w:pPr>
            <w:r>
              <w:rPr>
                <w:bCs/>
                <w:b/>
              </w:rPr>
              <w:t xml:space="preserve">Borderline-useful, clinically critical</w:t>
            </w:r>
          </w:p>
        </w:tc>
      </w:tr>
      <w:tr>
        <w:tc>
          <w:tcPr/>
          <w:p>
            <w:pPr>
              <w:pStyle w:val="Compact"/>
              <w:jc w:val="left"/>
            </w:pPr>
            <w:r>
              <w:t xml:space="preserve">14</w:t>
            </w:r>
          </w:p>
        </w:tc>
        <w:tc>
          <w:tcPr/>
          <w:p>
            <w:pPr>
              <w:pStyle w:val="Compact"/>
              <w:jc w:val="left"/>
            </w:pPr>
            <w:r>
              <w:t xml:space="preserve">Disruption of RPE</w:t>
            </w:r>
          </w:p>
        </w:tc>
        <w:tc>
          <w:tcPr/>
          <w:p>
            <w:pPr>
              <w:pStyle w:val="Compact"/>
              <w:jc w:val="left"/>
            </w:pPr>
            <w:r>
              <w:t xml:space="preserve">6</w:t>
            </w:r>
          </w:p>
        </w:tc>
        <w:tc>
          <w:tcPr/>
          <w:p>
            <w:pPr>
              <w:pStyle w:val="Compact"/>
              <w:jc w:val="left"/>
            </w:pPr>
            <w:r>
              <w:t xml:space="preserve">3.1%</w:t>
            </w:r>
          </w:p>
        </w:tc>
        <w:tc>
          <w:tcPr/>
          <w:p>
            <w:pPr>
              <w:pStyle w:val="Compact"/>
              <w:jc w:val="left"/>
            </w:pPr>
            <w:r>
              <w:t xml:space="preserve">Too sparse</w:t>
            </w:r>
          </w:p>
        </w:tc>
      </w:tr>
      <w:tr>
        <w:tc>
          <w:tcPr/>
          <w:p>
            <w:pPr>
              <w:pStyle w:val="Compact"/>
              <w:jc w:val="left"/>
            </w:pPr>
            <w:r>
              <w:t xml:space="preserve">15</w:t>
            </w:r>
          </w:p>
        </w:tc>
        <w:tc>
          <w:tcPr/>
          <w:p>
            <w:pPr>
              <w:pStyle w:val="Compact"/>
              <w:jc w:val="left"/>
            </w:pPr>
            <w:r>
              <w:t xml:space="preserve">PED (serous)</w:t>
            </w:r>
          </w:p>
        </w:tc>
        <w:tc>
          <w:tcPr/>
          <w:p>
            <w:pPr>
              <w:pStyle w:val="Compact"/>
              <w:jc w:val="left"/>
            </w:pPr>
            <w:r>
              <w:t xml:space="preserve">2</w:t>
            </w:r>
          </w:p>
        </w:tc>
        <w:tc>
          <w:tcPr/>
          <w:p>
            <w:pPr>
              <w:pStyle w:val="Compact"/>
              <w:jc w:val="left"/>
            </w:pPr>
            <w:r>
              <w:t xml:space="preserve">1.0%</w:t>
            </w:r>
          </w:p>
        </w:tc>
        <w:tc>
          <w:tcPr/>
          <w:p>
            <w:pPr>
              <w:pStyle w:val="Compact"/>
              <w:jc w:val="left"/>
            </w:pPr>
            <w:r>
              <w:t xml:space="preserve">Too sparse</w:t>
            </w:r>
          </w:p>
        </w:tc>
      </w:tr>
      <w:tr>
        <w:tc>
          <w:tcPr/>
          <w:p>
            <w:pPr>
              <w:pStyle w:val="Compact"/>
              <w:jc w:val="left"/>
            </w:pPr>
            <w:r>
              <w:t xml:space="preserve">16</w:t>
            </w:r>
          </w:p>
        </w:tc>
        <w:tc>
          <w:tcPr/>
          <w:p>
            <w:pPr>
              <w:pStyle w:val="Compact"/>
              <w:jc w:val="left"/>
            </w:pPr>
            <w:r>
              <w:t xml:space="preserve">SHRM</w:t>
            </w:r>
          </w:p>
        </w:tc>
        <w:tc>
          <w:tcPr/>
          <w:p>
            <w:pPr>
              <w:pStyle w:val="Compact"/>
              <w:jc w:val="left"/>
            </w:pPr>
            <w:r>
              <w:t xml:space="preserve">17</w:t>
            </w:r>
          </w:p>
        </w:tc>
        <w:tc>
          <w:tcPr/>
          <w:p>
            <w:pPr>
              <w:pStyle w:val="Compact"/>
              <w:jc w:val="left"/>
            </w:pPr>
            <w:r>
              <w:t xml:space="preserve">8.9%</w:t>
            </w:r>
          </w:p>
        </w:tc>
        <w:tc>
          <w:tcPr/>
          <w:p>
            <w:pPr>
              <w:pStyle w:val="Compact"/>
              <w:jc w:val="left"/>
            </w:pPr>
            <w:r>
              <w:t xml:space="preserve">Marginal</w:t>
            </w:r>
          </w:p>
        </w:tc>
      </w:tr>
    </w:tbl>
    <w:p>
      <w:pPr>
        <w:pStyle w:val="BodyText"/>
      </w:pPr>
      <w:r>
        <w:t xml:space="preserve">After excluding IR HRF (saturated/constant) and the six too-sparse columns (VMT, RPE, PED, DRIL, Atrophy, SHRM), there are</w:t>
      </w:r>
      <w:r>
        <w:t xml:space="preserve"> </w:t>
      </w:r>
      <w:r>
        <w:rPr>
          <w:bCs/>
          <w:b/>
        </w:rPr>
        <w:t xml:space="preserve">9 usable biomarkers</w:t>
      </w:r>
      <w:r>
        <w:t xml:space="preserve">, of which</w:t>
      </w:r>
      <w:r>
        <w:t xml:space="preserve"> </w:t>
      </w:r>
      <w:r>
        <w:rPr>
          <w:bCs/>
          <w:b/>
        </w:rPr>
        <w:t xml:space="preserve">DRT/ME, IRF, IR hemorrhages, SRF</w:t>
      </w:r>
      <w:r>
        <w:t xml:space="preserve"> </w:t>
      </w:r>
      <w:r>
        <w:t xml:space="preserve">have the strongest direct fundus correlates and clinical relevance for diabetic macular edema.</w:t>
      </w:r>
    </w:p>
    <w:bookmarkEnd w:id="34"/>
    <w:bookmarkStart w:id="35" w:name="X0fbc543d5184e8ff4e87d93a4f6d15ec1b75956"/>
    <w:p>
      <w:pPr>
        <w:pStyle w:val="Heading3"/>
      </w:pPr>
      <w:r>
        <w:t xml:space="preserve">4.3 DR severity classification — a methodological dead end on OLIVES</w:t>
      </w:r>
    </w:p>
    <w:p>
      <w:pPr>
        <w:pStyle w:val="FirstParagraph"/>
      </w:pPr>
      <w:r>
        <w:rPr>
          <w:bCs/>
          <w:b/>
        </w:rPr>
        <w:t xml:space="preserve">Critical finding</w:t>
      </w:r>
      <w:r>
        <w:t xml:space="preserve">: OLIVES does NOT provide per-image DR severity grades. The original idea (a 5-class softmax classifier head trained on OLIVES DR severity, mirroring the EyePACS approach) is not feasible.</w:t>
      </w:r>
    </w:p>
    <w:p>
      <w:pPr>
        <w:pStyle w:val="BodyText"/>
      </w:pPr>
      <w:r>
        <w:t xml:space="preserve">Sources of DR severity in OLIVES: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Granularity</w:t>
            </w:r>
          </w:p>
        </w:tc>
        <w:tc>
          <w:tcPr/>
          <w:p>
            <w:pPr>
              <w:pStyle w:val="Compact"/>
              <w:jc w:val="left"/>
            </w:pPr>
            <w:r>
              <w:t xml:space="preserve">Coverage</w:t>
            </w:r>
          </w:p>
        </w:tc>
        <w:tc>
          <w:tcPr/>
          <w:p>
            <w:pPr>
              <w:pStyle w:val="Compact"/>
              <w:jc w:val="left"/>
            </w:pPr>
            <w:r>
              <w:t xml:space="preserve">Usable?</w:t>
            </w:r>
          </w:p>
        </w:tc>
      </w:tr>
      <w:tr>
        <w:tc>
          <w:tcPr/>
          <w:p>
            <w:pPr>
              <w:pStyle w:val="Compact"/>
              <w:jc w:val="left"/>
            </w:pPr>
            <w:r>
              <w:t xml:space="preserve">OCT-DR.xlsx —</w:t>
            </w:r>
            <w:r>
              <w:t xml:space="preserve"> </w:t>
            </w:r>
            <w:r>
              <w:rPr>
                <w:rStyle w:val="VerbatimChar"/>
              </w:rPr>
              <w:t xml:space="preserve">DRSS</w:t>
            </w:r>
            <w:r>
              <w:t xml:space="preserve"> </w:t>
            </w:r>
            <w:r>
              <w:t xml:space="preserve">column</w:t>
            </w:r>
          </w:p>
        </w:tc>
        <w:tc>
          <w:tcPr/>
          <w:p>
            <w:pPr>
              <w:pStyle w:val="Compact"/>
              <w:jc w:val="left"/>
            </w:pPr>
            <w:r>
              <w:t xml:space="preserve">Patient-level (baseline only)</w:t>
            </w:r>
          </w:p>
        </w:tc>
        <w:tc>
          <w:tcPr/>
          <w:p>
            <w:pPr>
              <w:pStyle w:val="Compact"/>
              <w:jc w:val="left"/>
            </w:pPr>
            <w:r>
              <w:t xml:space="preserve">41 patients in DR study</w:t>
            </w:r>
          </w:p>
        </w:tc>
        <w:tc>
          <w:tcPr/>
          <w:p>
            <w:pPr>
              <w:pStyle w:val="Compact"/>
              <w:jc w:val="left"/>
            </w:pPr>
            <w:r>
              <w:t xml:space="preserve">No — not per-image</w:t>
            </w:r>
          </w:p>
        </w:tc>
      </w:tr>
      <w:tr>
        <w:tc>
          <w:tcPr/>
          <w:p>
            <w:pPr>
              <w:pStyle w:val="Compact"/>
              <w:jc w:val="left"/>
            </w:pPr>
            <w:r>
              <w:t xml:space="preserve">OCT-DME.xlsx — visit-level summary</w:t>
            </w:r>
          </w:p>
        </w:tc>
        <w:tc>
          <w:tcPr/>
          <w:p>
            <w:pPr>
              <w:pStyle w:val="Compact"/>
              <w:jc w:val="left"/>
            </w:pPr>
            <w:r>
              <w:t xml:space="preserve">Patient-level study summary</w:t>
            </w:r>
          </w:p>
        </w:tc>
        <w:tc>
          <w:tcPr/>
          <w:p>
            <w:pPr>
              <w:pStyle w:val="Compact"/>
              <w:jc w:val="left"/>
            </w:pPr>
            <w:r>
              <w:t xml:space="preserve">42 patients in DME study</w:t>
            </w:r>
          </w:p>
        </w:tc>
        <w:tc>
          <w:tcPr/>
          <w:p>
            <w:pPr>
              <w:pStyle w:val="Compact"/>
              <w:jc w:val="left"/>
            </w:pPr>
            <w:r>
              <w:t xml:space="preserve">No — not per-image</w:t>
            </w:r>
          </w:p>
        </w:tc>
      </w:tr>
      <w:tr>
        <w:tc>
          <w:tcPr/>
          <w:p>
            <w:pPr>
              <w:pStyle w:val="Compact"/>
              <w:jc w:val="left"/>
            </w:pPr>
            <w:r>
              <w:t xml:space="preserve">Biomarker</w:t>
            </w:r>
            <w:r>
              <w:t xml:space="preserve"> </w:t>
            </w:r>
            <w:r>
              <w:rPr>
                <w:rStyle w:val="VerbatimChar"/>
              </w:rPr>
              <w:t xml:space="preserve">DRIL</w:t>
            </w:r>
            <w:r>
              <w:t xml:space="preserve"> </w:t>
            </w:r>
            <w:r>
              <w:t xml:space="preserve">column</w:t>
            </w:r>
          </w:p>
        </w:tc>
        <w:tc>
          <w:tcPr/>
          <w:p>
            <w:pPr>
              <w:pStyle w:val="Compact"/>
              <w:jc w:val="left"/>
            </w:pPr>
            <w:r>
              <w:t xml:space="preserve">Per-image binary</w:t>
            </w:r>
          </w:p>
        </w:tc>
        <w:tc>
          <w:tcPr/>
          <w:p>
            <w:pPr>
              <w:pStyle w:val="Compact"/>
              <w:jc w:val="left"/>
            </w:pPr>
            <w:r>
              <w:t xml:space="preserve">5/192 positive (2.6%)</w:t>
            </w:r>
          </w:p>
        </w:tc>
        <w:tc>
          <w:tcPr/>
          <w:p>
            <w:pPr>
              <w:pStyle w:val="Compact"/>
              <w:jc w:val="left"/>
            </w:pPr>
            <w:r>
              <w:t xml:space="preserve">Effectively unusable</w:t>
            </w:r>
          </w:p>
        </w:tc>
      </w:tr>
    </w:tbl>
    <w:p>
      <w:pPr>
        <w:pStyle w:val="BodyText"/>
      </w:pPr>
      <w:r>
        <w:t xml:space="preserve">Implication: any DR severity classifier head must be trained on EyePACS only. OLIVES provides BCVA/CST regression labels and biomarker classification labels instead.</w:t>
      </w:r>
    </w:p>
    <w:p>
      <w:r>
        <w:pict>
          <v:rect style="width:0;height:1.5pt" o:hralign="center" o:hrstd="t" o:hr="t"/>
        </w:pict>
      </w:r>
    </w:p>
    <w:bookmarkEnd w:id="35"/>
    <w:bookmarkEnd w:id="36"/>
    <w:bookmarkStart w:id="43" w:name="preprocessing-pipeline-implementation"/>
    <w:p>
      <w:pPr>
        <w:pStyle w:val="Heading2"/>
      </w:pPr>
      <w:r>
        <w:t xml:space="preserve">5. Preprocessing pipeline implementation</w:t>
      </w:r>
    </w:p>
    <w:bookmarkStart w:id="37" w:name="files-in-the-repository"/>
    <w:p>
      <w:pPr>
        <w:pStyle w:val="Heading3"/>
      </w:pPr>
      <w:r>
        <w:t xml:space="preserve">5.1 Files in the repository</w:t>
      </w:r>
    </w:p>
    <w:p>
      <w:pPr>
        <w:pStyle w:val="SourceCode"/>
      </w:pPr>
      <w:r>
        <w:rPr>
          <w:rStyle w:val="VerbatimChar"/>
        </w:rPr>
        <w:t xml:space="preserve">src/</w:t>
      </w:r>
      <w:r>
        <w:br/>
      </w:r>
      <w:r>
        <w:rPr>
          <w:rStyle w:val="VerbatimChar"/>
        </w:rPr>
        <w:t xml:space="preserve">└── data/</w:t>
      </w:r>
      <w:r>
        <w:br/>
      </w:r>
      <w:r>
        <w:rPr>
          <w:rStyle w:val="VerbatimChar"/>
        </w:rPr>
        <w:t xml:space="preserve">    └── preprocess.py                    ← Main preprocessing module</w:t>
      </w:r>
      <w:r>
        <w:br/>
      </w:r>
      <w:r>
        <w:br/>
      </w:r>
      <w:r>
        <w:rPr>
          <w:rStyle w:val="VerbatimChar"/>
        </w:rPr>
        <w:t xml:space="preserve">configs/</w:t>
      </w:r>
      <w:r>
        <w:br/>
      </w:r>
      <w:r>
        <w:rPr>
          <w:rStyle w:val="VerbatimChar"/>
        </w:rPr>
        <w:t xml:space="preserve">└── preprocess.yaml                      ← All paths, image size, normalisation</w:t>
      </w:r>
      <w:r>
        <w:br/>
      </w:r>
      <w:r>
        <w:br/>
      </w:r>
      <w:r>
        <w:rPr>
          <w:rStyle w:val="VerbatimChar"/>
        </w:rPr>
        <w:t xml:space="preserve">src/utils/</w:t>
      </w:r>
      <w:r>
        <w:br/>
      </w:r>
      <w:r>
        <w:rPr>
          <w:rStyle w:val="VerbatimChar"/>
        </w:rPr>
        <w:t xml:space="preserve">└── config.py                            ← OmegaConf config loader</w:t>
      </w:r>
      <w:r>
        <w:br/>
      </w:r>
      <w:r>
        <w:br/>
      </w:r>
      <w:r>
        <w:rPr>
          <w:rStyle w:val="VerbatimChar"/>
        </w:rPr>
        <w:t xml:space="preserve">docs/</w:t>
      </w:r>
      <w:r>
        <w:br/>
      </w:r>
      <w:r>
        <w:rPr>
          <w:rStyle w:val="VerbatimChar"/>
        </w:rPr>
        <w:t xml:space="preserve">└── PREPROCESSING_DOCUMENTATION.md       ← This document</w:t>
      </w:r>
    </w:p>
    <w:p>
      <w:pPr>
        <w:pStyle w:val="FirstParagraph"/>
      </w:pPr>
      <w:r>
        <w:t xml:space="preserve">Repository:</w:t>
      </w:r>
      <w:r>
        <w:t xml:space="preserve"> </w:t>
      </w:r>
      <w:r>
        <w:rPr>
          <w:rStyle w:val="VerbatimChar"/>
        </w:rPr>
        <w:t xml:space="preserve">https://github.com/savita10/dr-dissertation</w:t>
      </w:r>
      <w:r>
        <w:t xml:space="preserve"> </w:t>
      </w:r>
      <w:r>
        <w:t xml:space="preserve">Cloned in Colab to:</w:t>
      </w:r>
      <w:r>
        <w:t xml:space="preserve"> </w:t>
      </w:r>
      <w:r>
        <w:rPr>
          <w:rStyle w:val="VerbatimChar"/>
        </w:rPr>
        <w:t xml:space="preserve">/content/dr-dissertation</w:t>
      </w:r>
    </w:p>
    <w:bookmarkEnd w:id="37"/>
    <w:bookmarkStart w:id="38" w:name="configspreprocess.yaml-schema"/>
    <w:p>
      <w:pPr>
        <w:pStyle w:val="Heading3"/>
      </w:pPr>
      <w:r>
        <w:t xml:space="preserve">5.2</w:t>
      </w:r>
      <w:r>
        <w:t xml:space="preserve"> </w:t>
      </w:r>
      <w:r>
        <w:rPr>
          <w:rStyle w:val="VerbatimChar"/>
        </w:rPr>
        <w:t xml:space="preserve">configs/preprocess.yaml</w:t>
      </w:r>
      <w:r>
        <w:t xml:space="preserve"> </w:t>
      </w:r>
      <w:r>
        <w:t xml:space="preserve">schema</w:t>
      </w:r>
    </w:p>
    <w:p>
      <w:pPr>
        <w:pStyle w:val="SourceCode"/>
      </w:pPr>
      <w:r>
        <w:rPr>
          <w:rStyle w:val="FunctionTok"/>
        </w:rPr>
        <w:t xml:space="preserve">image_size</w:t>
      </w:r>
      <w:r>
        <w:rPr>
          <w:rStyle w:val="KeywordTok"/>
        </w:rPr>
        <w:t xml:space="preserve">:</w:t>
      </w:r>
      <w:r>
        <w:rPr>
          <w:rStyle w:val="AttributeTok"/>
        </w:rPr>
        <w:t xml:space="preserve"> </w:t>
      </w:r>
      <w:r>
        <w:rPr>
          <w:rStyle w:val="DecValTok"/>
        </w:rPr>
        <w:t xml:space="preserve">224</w:t>
      </w:r>
      <w:r>
        <w:br/>
      </w:r>
      <w:r>
        <w:rPr>
          <w:rStyle w:val="FunctionTok"/>
        </w:rPr>
        <w:t xml:space="preserve">normalise_mean</w:t>
      </w:r>
      <w:r>
        <w:rPr>
          <w:rStyle w:val="KeywordTok"/>
        </w:rPr>
        <w:t xml:space="preserve">:</w:t>
      </w:r>
      <w:r>
        <w:rPr>
          <w:rStyle w:val="AttributeTok"/>
        </w:rPr>
        <w:t xml:space="preserve"> </w:t>
      </w:r>
      <w:r>
        <w:rPr>
          <w:rStyle w:val="KeywordTok"/>
        </w:rPr>
        <w:t xml:space="preserve">[</w:t>
      </w:r>
      <w:r>
        <w:rPr>
          <w:rStyle w:val="FloatTok"/>
        </w:rPr>
        <w:t xml:space="preserve">0.485</w:t>
      </w:r>
      <w:r>
        <w:rPr>
          <w:rStyle w:val="KeywordTok"/>
        </w:rPr>
        <w:t xml:space="preserve">,</w:t>
      </w:r>
      <w:r>
        <w:rPr>
          <w:rStyle w:val="AttributeTok"/>
        </w:rPr>
        <w:t xml:space="preserve"> </w:t>
      </w:r>
      <w:r>
        <w:rPr>
          <w:rStyle w:val="FloatTok"/>
        </w:rPr>
        <w:t xml:space="preserve">0.456</w:t>
      </w:r>
      <w:r>
        <w:rPr>
          <w:rStyle w:val="KeywordTok"/>
        </w:rPr>
        <w:t xml:space="preserve">,</w:t>
      </w:r>
      <w:r>
        <w:rPr>
          <w:rStyle w:val="AttributeTok"/>
        </w:rPr>
        <w:t xml:space="preserve"> </w:t>
      </w:r>
      <w:r>
        <w:rPr>
          <w:rStyle w:val="FloatTok"/>
        </w:rPr>
        <w:t xml:space="preserve">0.406</w:t>
      </w:r>
      <w:r>
        <w:rPr>
          <w:rStyle w:val="KeywordTok"/>
        </w:rPr>
        <w:t xml:space="preserve">]</w:t>
      </w:r>
      <w:r>
        <w:rPr>
          <w:rStyle w:val="CommentTok"/>
        </w:rPr>
        <w:t xml:space="preserve">    # ImageNet</w:t>
      </w:r>
      <w:r>
        <w:br/>
      </w:r>
      <w:r>
        <w:rPr>
          <w:rStyle w:val="FunctionTok"/>
        </w:rPr>
        <w:t xml:space="preserve">normalise_std</w:t>
      </w:r>
      <w:r>
        <w:rPr>
          <w:rStyle w:val="KeywordTok"/>
        </w:rPr>
        <w:t xml:space="preserve">:</w:t>
      </w:r>
      <w:r>
        <w:rPr>
          <w:rStyle w:val="AttributeTok"/>
        </w:rPr>
        <w:t xml:space="preserve"> </w:t>
      </w:r>
      <w:r>
        <w:rPr>
          <w:rStyle w:val="KeywordTok"/>
        </w:rPr>
        <w:t xml:space="preserve">[</w:t>
      </w:r>
      <w:r>
        <w:rPr>
          <w:rStyle w:val="FloatTok"/>
        </w:rPr>
        <w:t xml:space="preserve">0.229</w:t>
      </w:r>
      <w:r>
        <w:rPr>
          <w:rStyle w:val="KeywordTok"/>
        </w:rPr>
        <w:t xml:space="preserve">,</w:t>
      </w:r>
      <w:r>
        <w:rPr>
          <w:rStyle w:val="AttributeTok"/>
        </w:rPr>
        <w:t xml:space="preserve"> </w:t>
      </w:r>
      <w:r>
        <w:rPr>
          <w:rStyle w:val="FloatTok"/>
        </w:rPr>
        <w:t xml:space="preserve">0.224</w:t>
      </w:r>
      <w:r>
        <w:rPr>
          <w:rStyle w:val="KeywordTok"/>
        </w:rPr>
        <w:t xml:space="preserve">,</w:t>
      </w:r>
      <w:r>
        <w:rPr>
          <w:rStyle w:val="AttributeTok"/>
        </w:rPr>
        <w:t xml:space="preserve"> </w:t>
      </w:r>
      <w:r>
        <w:rPr>
          <w:rStyle w:val="FloatTok"/>
        </w:rPr>
        <w:t xml:space="preserve">0.225</w:t>
      </w:r>
      <w:r>
        <w:rPr>
          <w:rStyle w:val="KeywordTok"/>
        </w:rPr>
        <w:t xml:space="preserve">]</w:t>
      </w:r>
      <w:r>
        <w:rPr>
          <w:rStyle w:val="CommentTok"/>
        </w:rPr>
        <w:t xml:space="preserve">     # ImageNet</w:t>
      </w:r>
      <w:r>
        <w:br/>
      </w:r>
      <w:r>
        <w:rPr>
          <w:rStyle w:val="FunctionTok"/>
        </w:rPr>
        <w:t xml:space="preserve">eyepacs_shard_size</w:t>
      </w:r>
      <w:r>
        <w:rPr>
          <w:rStyle w:val="KeywordTok"/>
        </w:rPr>
        <w:t xml:space="preserve">:</w:t>
      </w:r>
      <w:r>
        <w:rPr>
          <w:rStyle w:val="AttributeTok"/>
        </w:rPr>
        <w:t xml:space="preserve"> </w:t>
      </w:r>
      <w:r>
        <w:rPr>
          <w:rStyle w:val="DecValTok"/>
        </w:rPr>
        <w:t xml:space="preserve">5000</w:t>
      </w:r>
      <w:r>
        <w:br/>
      </w:r>
      <w:r>
        <w:br/>
      </w:r>
      <w:r>
        <w:rPr>
          <w:rStyle w:val="CommentTok"/>
        </w:rPr>
        <w:t xml:space="preserve"># EyePACS</w:t>
      </w:r>
      <w:r>
        <w:br/>
      </w:r>
      <w:r>
        <w:rPr>
          <w:rStyle w:val="FunctionTok"/>
        </w:rPr>
        <w:t xml:space="preserve">eyepacs_source</w:t>
      </w:r>
      <w:r>
        <w:rPr>
          <w:rStyle w:val="KeywordTok"/>
        </w:rPr>
        <w:t xml:space="preserve">:</w:t>
      </w:r>
      <w:r>
        <w:rPr>
          <w:rStyle w:val="AttributeTok"/>
        </w:rPr>
        <w:t xml:space="preserve"> /content/eyepacs_hf</w:t>
      </w:r>
      <w:r>
        <w:br/>
      </w:r>
      <w:r>
        <w:rPr>
          <w:rStyle w:val="FunctionTok"/>
        </w:rPr>
        <w:t xml:space="preserve">eyepacs_output</w:t>
      </w:r>
      <w:r>
        <w:rPr>
          <w:rStyle w:val="KeywordTok"/>
        </w:rPr>
        <w:t xml:space="preserve">:</w:t>
      </w:r>
      <w:r>
        <w:rPr>
          <w:rStyle w:val="AttributeTok"/>
        </w:rPr>
        <w:t xml:space="preserve"> /content/drive/MyDrive/dissertation/preprocessed/eyepacs</w:t>
      </w:r>
      <w:r>
        <w:br/>
      </w:r>
      <w:r>
        <w:br/>
      </w:r>
      <w:r>
        <w:rPr>
          <w:rStyle w:val="CommentTok"/>
        </w:rPr>
        <w:t xml:space="preserve"># OLIVES</w:t>
      </w:r>
      <w:r>
        <w:br/>
      </w:r>
      <w:r>
        <w:rPr>
          <w:rStyle w:val="FunctionTok"/>
        </w:rPr>
        <w:t xml:space="preserve">olives_zip</w:t>
      </w:r>
      <w:r>
        <w:rPr>
          <w:rStyle w:val="KeywordTok"/>
        </w:rPr>
        <w:t xml:space="preserve">:</w:t>
      </w:r>
      <w:r>
        <w:rPr>
          <w:rStyle w:val="AttributeTok"/>
        </w:rPr>
        <w:t xml:space="preserve"> /content/drive/MyDrive/olive.zip</w:t>
      </w:r>
      <w:r>
        <w:br/>
      </w:r>
      <w:r>
        <w:rPr>
          <w:rStyle w:val="FunctionTok"/>
        </w:rPr>
        <w:t xml:space="preserve">olives_labels_csv</w:t>
      </w:r>
      <w:r>
        <w:rPr>
          <w:rStyle w:val="KeywordTok"/>
        </w:rPr>
        <w:t xml:space="preserve">:</w:t>
      </w:r>
      <w:r>
        <w:rPr>
          <w:rStyle w:val="AttributeTok"/>
        </w:rPr>
        <w:t xml:space="preserve"> .../Biomarker_Clinical_Data_Images.csv</w:t>
      </w:r>
      <w:r>
        <w:rPr>
          <w:rStyle w:val="CommentTok"/>
        </w:rPr>
        <w:t xml:space="preserve">      # tier-2</w:t>
      </w:r>
      <w:r>
        <w:br/>
      </w:r>
      <w:r>
        <w:rPr>
          <w:rStyle w:val="FunctionTok"/>
        </w:rPr>
        <w:t xml:space="preserve">olives_clinical_xlsx</w:t>
      </w:r>
      <w:r>
        <w:rPr>
          <w:rStyle w:val="KeywordTok"/>
        </w:rPr>
        <w:t xml:space="preserve">:</w:t>
      </w:r>
      <w:r>
        <w:rPr>
          <w:rStyle w:val="AttributeTok"/>
        </w:rPr>
        <w:t xml:space="preserve"> .../full_labels/Clinical_Data_Images.xlsx</w:t>
      </w:r>
      <w:r>
        <w:rPr>
          <w:rStyle w:val="CommentTok"/>
        </w:rPr>
        <w:t xml:space="preserve"> # tier-1</w:t>
      </w:r>
      <w:r>
        <w:br/>
      </w:r>
      <w:r>
        <w:rPr>
          <w:rStyle w:val="FunctionTok"/>
        </w:rPr>
        <w:t xml:space="preserve">olives_output</w:t>
      </w:r>
      <w:r>
        <w:rPr>
          <w:rStyle w:val="KeywordTok"/>
        </w:rPr>
        <w:t xml:space="preserve">:</w:t>
      </w:r>
      <w:r>
        <w:rPr>
          <w:rStyle w:val="AttributeTok"/>
        </w:rPr>
        <w:t xml:space="preserve"> /content/drive/MyDrive/dissertation/preprocessed/olives</w:t>
      </w:r>
      <w:r>
        <w:br/>
      </w:r>
      <w:r>
        <w:rPr>
          <w:rStyle w:val="FunctionTok"/>
        </w:rPr>
        <w:t xml:space="preserve">scratch_dir</w:t>
      </w:r>
      <w:r>
        <w:rPr>
          <w:rStyle w:val="KeywordTok"/>
        </w:rPr>
        <w:t xml:space="preserve">:</w:t>
      </w:r>
      <w:r>
        <w:rPr>
          <w:rStyle w:val="AttributeTok"/>
        </w:rPr>
        <w:t xml:space="preserve"> /content/scratch/olives_fundus</w:t>
      </w:r>
    </w:p>
    <w:bookmarkEnd w:id="38"/>
    <w:bookmarkStart w:id="39" w:name="olives-preprocessing-stages"/>
    <w:p>
      <w:pPr>
        <w:pStyle w:val="Heading3"/>
      </w:pPr>
      <w:r>
        <w:t xml:space="preserve">5.3 OLIVES preprocessing stages</w:t>
      </w:r>
    </w:p>
    <w:p>
      <w:pPr>
        <w:pStyle w:val="FirstParagraph"/>
      </w:pPr>
      <w:r>
        <w:t xml:space="preserve">The</w:t>
      </w:r>
      <w:r>
        <w:t xml:space="preserve"> </w:t>
      </w:r>
      <w:r>
        <w:rPr>
          <w:rStyle w:val="VerbatimChar"/>
        </w:rPr>
        <w:t xml:space="preserve">preprocess_olives()</w:t>
      </w:r>
      <w:r>
        <w:t xml:space="preserve"> </w:t>
      </w:r>
      <w:r>
        <w:t xml:space="preserve">function runs in 6 stages:</w:t>
      </w:r>
    </w:p>
    <w:p>
      <w:pPr>
        <w:numPr>
          <w:ilvl w:val="0"/>
          <w:numId w:val="1002"/>
        </w:numPr>
        <w:pStyle w:val="Compact"/>
      </w:pPr>
      <w:r>
        <w:rPr>
          <w:bCs/>
          <w:b/>
        </w:rPr>
        <w:t xml:space="preserve">Extract fundus images</w:t>
      </w:r>
      <w:r>
        <w:t xml:space="preserve"> </w:t>
      </w:r>
      <w:r>
        <w:t xml:space="preserve">from triple-nested zip to</w:t>
      </w:r>
      <w:r>
        <w:t xml:space="preserve"> </w:t>
      </w:r>
      <w:r>
        <w:rPr>
          <w:rStyle w:val="VerbatimChar"/>
        </w:rPr>
        <w:t xml:space="preserve">scratch_dir</w:t>
      </w:r>
      <w:r>
        <w:t xml:space="preserve">. Resumable — files already present are skipped. Takes ~47 minutes from cold start due to slow zip-from-Drive read.</w:t>
      </w:r>
    </w:p>
    <w:p>
      <w:pPr>
        <w:numPr>
          <w:ilvl w:val="0"/>
          <w:numId w:val="1002"/>
        </w:numPr>
        <w:pStyle w:val="Compact"/>
      </w:pPr>
      <w:r>
        <w:rPr>
          <w:bCs/>
          <w:b/>
        </w:rPr>
        <w:t xml:space="preserve">Load biomarker labels</w:t>
      </w:r>
      <w:r>
        <w:t xml:space="preserve"> </w:t>
      </w:r>
      <w:r>
        <w:t xml:space="preserve">from CSV →</w:t>
      </w:r>
      <w:r>
        <w:t xml:space="preserve"> </w:t>
      </w:r>
      <w:r>
        <w:rPr>
          <w:rStyle w:val="VerbatimChar"/>
        </w:rPr>
        <w:t xml:space="preserve">biomarker_lookup: dict[(trial,patient,visit,eye), 16-element float32 array]</w:t>
      </w:r>
      <w:r>
        <w:t xml:space="preserve">. Uses</w:t>
      </w:r>
      <w:r>
        <w:t xml:space="preserve"> </w:t>
      </w:r>
      <w:r>
        <w:rPr>
          <w:bCs/>
          <w:b/>
        </w:rPr>
        <w:t xml:space="preserve">max-aggregation</w:t>
      </w:r>
      <w:r>
        <w:t xml:space="preserve"> </w:t>
      </w:r>
      <w:r>
        <w:t xml:space="preserve">across OCT scans within each visit-eye (see Section 6.2).</w:t>
      </w:r>
    </w:p>
    <w:p>
      <w:pPr>
        <w:numPr>
          <w:ilvl w:val="0"/>
          <w:numId w:val="1002"/>
        </w:numPr>
        <w:pStyle w:val="Compact"/>
      </w:pPr>
      <w:r>
        <w:rPr>
          <w:bCs/>
          <w:b/>
        </w:rPr>
        <w:t xml:space="preserve">Load clinical labels</w:t>
      </w:r>
      <w:r>
        <w:t xml:space="preserve"> </w:t>
      </w:r>
      <w:r>
        <w:t xml:space="preserve">from xlsx →</w:t>
      </w:r>
      <w:r>
        <w:t xml:space="preserve"> </w:t>
      </w:r>
      <w:r>
        <w:rPr>
          <w:rStyle w:val="VerbatimChar"/>
        </w:rPr>
        <w:t xml:space="preserve">clinical_lookup: dict[(trial,patient,visit,eye), {BCVA, CST, Patient_ID, Eye_ID}]</w:t>
      </w:r>
      <w:r>
        <w:t xml:space="preserve">. Uses first-row deduplication (safe because BCVA/CST are visit-level constants).</w:t>
      </w:r>
    </w:p>
    <w:p>
      <w:pPr>
        <w:numPr>
          <w:ilvl w:val="0"/>
          <w:numId w:val="1002"/>
        </w:numPr>
        <w:pStyle w:val="Compact"/>
      </w:pPr>
      <w:r>
        <w:rPr>
          <w:bCs/>
          <w:b/>
        </w:rPr>
        <w:t xml:space="preserve">Walk scratch dir</w:t>
      </w:r>
      <w:r>
        <w:t xml:space="preserve"> </w:t>
      </w:r>
      <w:r>
        <w:t xml:space="preserve">for fundus files (filter by</w:t>
      </w:r>
      <w:r>
        <w:t xml:space="preserve"> </w:t>
      </w:r>
      <w:r>
        <w:rPr>
          <w:rStyle w:val="VerbatimChar"/>
        </w:rPr>
        <w:t xml:space="preserve">'fundus' in filename</w:t>
      </w:r>
      <w:r>
        <w:t xml:space="preserve">).</w:t>
      </w:r>
      <w:r>
        <w:t xml:space="preserve"> </w:t>
      </w:r>
      <w:r>
        <w:rPr>
          <w:bCs/>
          <w:b/>
        </w:rPr>
        <w:t xml:space="preserve">Apply</w:t>
      </w:r>
      <w:r>
        <w:rPr>
          <w:bCs/>
          <w:b/>
        </w:rPr>
        <w:t xml:space="preserve"> </w:t>
      </w:r>
      <w:r>
        <w:rPr>
          <w:rStyle w:val="VerbatimChar"/>
          <w:bCs/>
          <w:b/>
        </w:rPr>
        <w:t xml:space="preserve">.tif</w:t>
      </w:r>
      <w:r>
        <w:rPr>
          <w:bCs/>
          <w:b/>
        </w:rPr>
        <w:t xml:space="preserve">/</w:t>
      </w:r>
      <w:r>
        <w:rPr>
          <w:rStyle w:val="VerbatimChar"/>
          <w:bCs/>
          <w:b/>
        </w:rPr>
        <w:t xml:space="preserve">.png</w:t>
      </w:r>
      <w:r>
        <w:rPr>
          <w:bCs/>
          <w:b/>
        </w:rPr>
        <w:t xml:space="preserve"> </w:t>
      </w:r>
      <w:r>
        <w:rPr>
          <w:bCs/>
          <w:b/>
        </w:rPr>
        <w:t xml:space="preserve">deduplication</w:t>
      </w:r>
      <w:r>
        <w:t xml:space="preserve"> </w:t>
      </w:r>
      <w:r>
        <w:t xml:space="preserve">to remove Prime_FULL duplicates (see Section 6.3). Result: 3,142 unique fundus paths from 4,435 raw files.</w:t>
      </w:r>
    </w:p>
    <w:p>
      <w:pPr>
        <w:numPr>
          <w:ilvl w:val="0"/>
          <w:numId w:val="1002"/>
        </w:numPr>
        <w:pStyle w:val="Compact"/>
      </w:pPr>
      <w:r>
        <w:rPr>
          <w:bCs/>
          <w:b/>
        </w:rPr>
        <w:t xml:space="preserve">Process all fundus images</w:t>
      </w:r>
      <w:r>
        <w:t xml:space="preserve"> </w:t>
      </w:r>
      <w:r>
        <w:t xml:space="preserve">with three-tier label assignment. For each fundus file:</w:t>
      </w:r>
    </w:p>
    <w:p>
      <w:pPr>
        <w:numPr>
          <w:ilvl w:val="1"/>
          <w:numId w:val="1003"/>
        </w:numPr>
        <w:pStyle w:val="Compact"/>
      </w:pPr>
      <w:r>
        <w:t xml:space="preserve">Load and ImageNet-normalise to 3×224×224 float32</w:t>
      </w:r>
    </w:p>
    <w:p>
      <w:pPr>
        <w:numPr>
          <w:ilvl w:val="1"/>
          <w:numId w:val="1003"/>
        </w:numPr>
        <w:pStyle w:val="Compact"/>
      </w:pPr>
      <w:r>
        <w:t xml:space="preserve">Look up clinical labels (NaN if missing, set</w:t>
      </w:r>
      <w:r>
        <w:t xml:space="preserve"> </w:t>
      </w:r>
      <w:r>
        <w:rPr>
          <w:rStyle w:val="VerbatimChar"/>
        </w:rPr>
        <w:t xml:space="preserve">has_clinical=False</w:t>
      </w:r>
      <w:r>
        <w:t xml:space="preserve">)</w:t>
      </w:r>
    </w:p>
    <w:p>
      <w:pPr>
        <w:numPr>
          <w:ilvl w:val="1"/>
          <w:numId w:val="1003"/>
        </w:numPr>
        <w:pStyle w:val="Compact"/>
      </w:pPr>
      <w:r>
        <w:t xml:space="preserve">Look up biomarker labels (NaN if missing, set</w:t>
      </w:r>
      <w:r>
        <w:t xml:space="preserve"> </w:t>
      </w:r>
      <w:r>
        <w:rPr>
          <w:rStyle w:val="VerbatimChar"/>
        </w:rPr>
        <w:t xml:space="preserve">has_biomarkers=False</w:t>
      </w:r>
      <w:r>
        <w:t xml:space="preserve">)</w:t>
      </w:r>
    </w:p>
    <w:p>
      <w:pPr>
        <w:numPr>
          <w:ilvl w:val="1"/>
          <w:numId w:val="1003"/>
        </w:numPr>
        <w:pStyle w:val="Compact"/>
      </w:pPr>
      <w:r>
        <w:t xml:space="preserve">Append to lists regardless of label availability</w:t>
      </w:r>
    </w:p>
    <w:p>
      <w:pPr>
        <w:numPr>
          <w:ilvl w:val="0"/>
          <w:numId w:val="1002"/>
        </w:numPr>
        <w:pStyle w:val="Compact"/>
      </w:pPr>
      <w:r>
        <w:rPr>
          <w:bCs/>
          <w:b/>
        </w:rPr>
        <w:t xml:space="preserve">Save</w:t>
      </w:r>
      <w:r>
        <w:t xml:space="preserve"> </w:t>
      </w:r>
      <w:r>
        <w:t xml:space="preserve">consolidated tensor file (~1.8 GB) + write metadata.json</w:t>
      </w:r>
    </w:p>
    <w:bookmarkEnd w:id="39"/>
    <w:bookmarkStart w:id="40" w:name="olives-output-schema-olives_fundus.pt"/>
    <w:p>
      <w:pPr>
        <w:pStyle w:val="Heading3"/>
      </w:pPr>
      <w:r>
        <w:t xml:space="preserve">5.4 OLIVES output schema (</w:t>
      </w:r>
      <w:r>
        <w:rPr>
          <w:rStyle w:val="VerbatimChar"/>
        </w:rPr>
        <w:t xml:space="preserve">olives_fundus.pt</w:t>
      </w:r>
      <w:r>
        <w:t xml:space="preserve">)</w:t>
      </w:r>
    </w:p>
    <w:p>
      <w:pPr>
        <w:pStyle w:val="SourceCode"/>
      </w:pPr>
      <w:r>
        <w:rPr>
          <w:rStyle w:val="NormalTok"/>
        </w:rPr>
        <w:t xml:space="preserve">{</w:t>
      </w:r>
      <w:r>
        <w:br/>
      </w:r>
      <w:r>
        <w:rPr>
          <w:rStyle w:val="NormalTok"/>
        </w:rPr>
        <w:t xml:space="preserve">    </w:t>
      </w:r>
      <w:r>
        <w:rPr>
          <w:rStyle w:val="StringTok"/>
        </w:rPr>
        <w:t xml:space="preserve">"images"</w:t>
      </w:r>
      <w:r>
        <w:rPr>
          <w:rStyle w:val="NormalTok"/>
        </w:rPr>
        <w:t xml:space="preserve">:        torch.float32 [</w:t>
      </w:r>
      <w:r>
        <w:rPr>
          <w:rStyle w:val="DecValTok"/>
        </w:rPr>
        <w:t xml:space="preserve">3142</w:t>
      </w:r>
      <w:r>
        <w:rPr>
          <w:rStyle w:val="NormalTok"/>
        </w:rPr>
        <w:t xml:space="preserve">, </w:t>
      </w:r>
      <w:r>
        <w:rPr>
          <w:rStyle w:val="DecValTok"/>
        </w:rPr>
        <w:t xml:space="preserve">3</w:t>
      </w:r>
      <w:r>
        <w:rPr>
          <w:rStyle w:val="NormalTok"/>
        </w:rPr>
        <w:t xml:space="preserve">, </w:t>
      </w:r>
      <w:r>
        <w:rPr>
          <w:rStyle w:val="DecValTok"/>
        </w:rPr>
        <w:t xml:space="preserve">224</w:t>
      </w:r>
      <w:r>
        <w:rPr>
          <w:rStyle w:val="NormalTok"/>
        </w:rPr>
        <w:t xml:space="preserve">, </w:t>
      </w:r>
      <w:r>
        <w:rPr>
          <w:rStyle w:val="DecValTok"/>
        </w:rPr>
        <w:t xml:space="preserve">224</w:t>
      </w:r>
      <w:r>
        <w:rPr>
          <w:rStyle w:val="NormalTok"/>
        </w:rPr>
        <w:t xml:space="preserve">],   </w:t>
      </w:r>
      <w:r>
        <w:rPr>
          <w:rStyle w:val="CommentTok"/>
        </w:rPr>
        <w:t xml:space="preserve"># ImageNet-normalised</w:t>
      </w:r>
      <w:r>
        <w:br/>
      </w:r>
      <w:r>
        <w:rPr>
          <w:rStyle w:val="NormalTok"/>
        </w:rPr>
        <w:t xml:space="preserve">    </w:t>
      </w:r>
      <w:r>
        <w:rPr>
          <w:rStyle w:val="StringTok"/>
        </w:rPr>
        <w:t xml:space="preserve">"labels"</w:t>
      </w:r>
      <w:r>
        <w:rPr>
          <w:rStyle w:val="NormalTok"/>
        </w:rPr>
        <w:t xml:space="preserve">:        torch.int64   [</w:t>
      </w:r>
      <w:r>
        <w:rPr>
          <w:rStyle w:val="DecValTok"/>
        </w:rPr>
        <w:t xml:space="preserve">3142</w:t>
      </w:r>
      <w:r>
        <w:rPr>
          <w:rStyle w:val="NormalTok"/>
        </w:rPr>
        <w:t xml:space="preserve">],                </w:t>
      </w:r>
      <w:r>
        <w:rPr>
          <w:rStyle w:val="CommentTok"/>
        </w:rPr>
        <w:t xml:space="preserve"># Binary DRIL flag (NOT multi-class DR)</w:t>
      </w:r>
      <w:r>
        <w:br/>
      </w:r>
      <w:r>
        <w:rPr>
          <w:rStyle w:val="NormalTok"/>
        </w:rPr>
        <w:t xml:space="preserve">    </w:t>
      </w:r>
      <w:r>
        <w:rPr>
          <w:rStyle w:val="StringTok"/>
        </w:rPr>
        <w:t xml:space="preserve">"metadata"</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    of </w:t>
      </w:r>
      <w:r>
        <w:rPr>
          <w:rStyle w:val="DecValTok"/>
        </w:rPr>
        <w:t xml:space="preserve">3142</w:t>
      </w:r>
      <w:r>
        <w:rPr>
          <w:rStyle w:val="NormalTok"/>
        </w:rPr>
        <w:t xml:space="preserve"> items,         </w:t>
      </w:r>
      <w:r>
        <w:rPr>
          <w:rStyle w:val="CommentTok"/>
        </w:rPr>
        <w:t xml:space="preserve"># {trial, patient_id, visit, eye}</w:t>
      </w:r>
      <w:r>
        <w:br/>
      </w:r>
      <w:r>
        <w:rPr>
          <w:rStyle w:val="NormalTok"/>
        </w:rPr>
        <w:t xml:space="preserve">    </w:t>
      </w:r>
      <w:r>
        <w:rPr>
          <w:rStyle w:val="StringTok"/>
        </w:rPr>
        <w:t xml:space="preserve">"biomarkers"</w:t>
      </w:r>
      <w:r>
        <w:rPr>
          <w:rStyle w:val="NormalTok"/>
        </w:rPr>
        <w:t xml:space="preserve">:    torch.float32 [</w:t>
      </w:r>
      <w:r>
        <w:rPr>
          <w:rStyle w:val="DecValTok"/>
        </w:rPr>
        <w:t xml:space="preserve">3142</w:t>
      </w:r>
      <w:r>
        <w:rPr>
          <w:rStyle w:val="NormalTok"/>
        </w:rPr>
        <w:t xml:space="preserve">, </w:t>
      </w:r>
      <w:r>
        <w:rPr>
          <w:rStyle w:val="DecValTok"/>
        </w:rPr>
        <w:t xml:space="preserve">16</w:t>
      </w:r>
      <w:r>
        <w:rPr>
          <w:rStyle w:val="NormalTok"/>
        </w:rPr>
        <w:t xml:space="preserve">],            </w:t>
      </w:r>
      <w:r>
        <w:rPr>
          <w:rStyle w:val="CommentTok"/>
        </w:rPr>
        <w:t xml:space="preserve"># NaN where has_biomarkers=False</w:t>
      </w:r>
      <w:r>
        <w:br/>
      </w:r>
      <w:r>
        <w:rPr>
          <w:rStyle w:val="NormalTok"/>
        </w:rPr>
        <w:t xml:space="preserve">    </w:t>
      </w:r>
      <w:r>
        <w:rPr>
          <w:rStyle w:val="StringTok"/>
        </w:rPr>
        <w:t xml:space="preserve">"bcva"</w:t>
      </w:r>
      <w:r>
        <w:rPr>
          <w:rStyle w:val="NormalTok"/>
        </w:rPr>
        <w:t xml:space="preserve">:          torch.float32 [</w:t>
      </w:r>
      <w:r>
        <w:rPr>
          <w:rStyle w:val="DecValTok"/>
        </w:rPr>
        <w:t xml:space="preserve">3142</w:t>
      </w:r>
      <w:r>
        <w:rPr>
          <w:rStyle w:val="NormalTok"/>
        </w:rPr>
        <w:t xml:space="preserve">],                </w:t>
      </w:r>
      <w:r>
        <w:rPr>
          <w:rStyle w:val="CommentTok"/>
        </w:rPr>
        <w:t xml:space="preserve"># NaN where has_clinical=False</w:t>
      </w:r>
      <w:r>
        <w:br/>
      </w:r>
      <w:r>
        <w:rPr>
          <w:rStyle w:val="NormalTok"/>
        </w:rPr>
        <w:t xml:space="preserve">    </w:t>
      </w:r>
      <w:r>
        <w:rPr>
          <w:rStyle w:val="StringTok"/>
        </w:rPr>
        <w:t xml:space="preserve">"cst"</w:t>
      </w:r>
      <w:r>
        <w:rPr>
          <w:rStyle w:val="NormalTok"/>
        </w:rPr>
        <w:t xml:space="preserve">:           torch.float32 [</w:t>
      </w:r>
      <w:r>
        <w:rPr>
          <w:rStyle w:val="DecValTok"/>
        </w:rPr>
        <w:t xml:space="preserve">3142</w:t>
      </w:r>
      <w:r>
        <w:rPr>
          <w:rStyle w:val="NormalTok"/>
        </w:rPr>
        <w:t xml:space="preserve">],                </w:t>
      </w:r>
      <w:r>
        <w:rPr>
          <w:rStyle w:val="CommentTok"/>
        </w:rPr>
        <w:t xml:space="preserve"># NaN where has_clinical=False</w:t>
      </w:r>
      <w:r>
        <w:br/>
      </w:r>
      <w:r>
        <w:rPr>
          <w:rStyle w:val="NormalTok"/>
        </w:rPr>
        <w:t xml:space="preserve">    </w:t>
      </w:r>
      <w:r>
        <w:rPr>
          <w:rStyle w:val="StringTok"/>
        </w:rPr>
        <w:t xml:space="preserve">"has_clinical"</w:t>
      </w:r>
      <w:r>
        <w:rPr>
          <w:rStyle w:val="NormalTok"/>
        </w:rPr>
        <w:t xml:space="preserve">:  torch.</w:t>
      </w:r>
      <w:r>
        <w:rPr>
          <w:rStyle w:val="BuiltInTok"/>
        </w:rPr>
        <w:t xml:space="preserve">bool</w:t>
      </w:r>
      <w:r>
        <w:rPr>
          <w:rStyle w:val="NormalTok"/>
        </w:rPr>
        <w:t xml:space="preserve">    [</w:t>
      </w:r>
      <w:r>
        <w:rPr>
          <w:rStyle w:val="DecValTok"/>
        </w:rPr>
        <w:t xml:space="preserve">3142</w:t>
      </w:r>
      <w:r>
        <w:rPr>
          <w:rStyle w:val="NormalTok"/>
        </w:rPr>
        <w:t xml:space="preserve">],                </w:t>
      </w:r>
      <w:r>
        <w:rPr>
          <w:rStyle w:val="CommentTok"/>
        </w:rPr>
        <w:t xml:space="preserve"># Mask for tier-1 supervision</w:t>
      </w:r>
      <w:r>
        <w:br/>
      </w:r>
      <w:r>
        <w:rPr>
          <w:rStyle w:val="NormalTok"/>
        </w:rPr>
        <w:t xml:space="preserve">    </w:t>
      </w:r>
      <w:r>
        <w:rPr>
          <w:rStyle w:val="StringTok"/>
        </w:rPr>
        <w:t xml:space="preserve">"has_biomarkers"</w:t>
      </w:r>
      <w:r>
        <w:rPr>
          <w:rStyle w:val="NormalTok"/>
        </w:rPr>
        <w:t xml:space="preserve">:torch.</w:t>
      </w:r>
      <w:r>
        <w:rPr>
          <w:rStyle w:val="BuiltInTok"/>
        </w:rPr>
        <w:t xml:space="preserve">bool</w:t>
      </w:r>
      <w:r>
        <w:rPr>
          <w:rStyle w:val="NormalTok"/>
        </w:rPr>
        <w:t xml:space="preserve">    [</w:t>
      </w:r>
      <w:r>
        <w:rPr>
          <w:rStyle w:val="DecValTok"/>
        </w:rPr>
        <w:t xml:space="preserve">3142</w:t>
      </w:r>
      <w:r>
        <w:rPr>
          <w:rStyle w:val="NormalTok"/>
        </w:rPr>
        <w:t xml:space="preserve">],                </w:t>
      </w:r>
      <w:r>
        <w:rPr>
          <w:rStyle w:val="CommentTok"/>
        </w:rPr>
        <w:t xml:space="preserve"># Mask for tier-2 supervision</w:t>
      </w:r>
      <w:r>
        <w:br/>
      </w:r>
      <w:r>
        <w:rPr>
          <w:rStyle w:val="NormalTok"/>
        </w:rPr>
        <w:t xml:space="preserve">    </w:t>
      </w:r>
      <w:r>
        <w:rPr>
          <w:rStyle w:val="StringTok"/>
        </w:rPr>
        <w:t xml:space="preserve">"patient_ids"</w:t>
      </w:r>
      <w:r>
        <w:rPr>
          <w:rStyle w:val="NormalTok"/>
        </w:rPr>
        <w:t xml:space="preserve">:   torch.int64   [</w:t>
      </w:r>
      <w:r>
        <w:rPr>
          <w:rStyle w:val="DecValTok"/>
        </w:rPr>
        <w:t xml:space="preserve">3142</w:t>
      </w:r>
      <w:r>
        <w:rPr>
          <w:rStyle w:val="NormalTok"/>
        </w:rPr>
        <w:t xml:space="preserve">],                </w:t>
      </w:r>
      <w:r>
        <w:rPr>
          <w:rStyle w:val="CommentTok"/>
        </w:rPr>
        <w:t xml:space="preserve"># -1 where missing</w:t>
      </w:r>
      <w:r>
        <w:br/>
      </w:r>
      <w:r>
        <w:rPr>
          <w:rStyle w:val="NormalTok"/>
        </w:rPr>
        <w:t xml:space="preserve">    </w:t>
      </w:r>
      <w:r>
        <w:rPr>
          <w:rStyle w:val="StringTok"/>
        </w:rPr>
        <w:t xml:space="preserve">"eye_ids"</w:t>
      </w:r>
      <w:r>
        <w:rPr>
          <w:rStyle w:val="NormalTok"/>
        </w:rPr>
        <w:t xml:space="preserve">:       torch.int64   [</w:t>
      </w:r>
      <w:r>
        <w:rPr>
          <w:rStyle w:val="DecValTok"/>
        </w:rPr>
        <w:t xml:space="preserve">3142</w:t>
      </w:r>
      <w:r>
        <w:rPr>
          <w:rStyle w:val="NormalTok"/>
        </w:rPr>
        <w:t xml:space="preserve">],                </w:t>
      </w:r>
      <w:r>
        <w:rPr>
          <w:rStyle w:val="CommentTok"/>
        </w:rPr>
        <w:t xml:space="preserve"># -1 where missing</w:t>
      </w:r>
      <w:r>
        <w:br/>
      </w:r>
      <w:r>
        <w:rPr>
          <w:rStyle w:val="NormalTok"/>
        </w:rPr>
        <w:t xml:space="preserve">    </w:t>
      </w:r>
      <w:r>
        <w:rPr>
          <w:rStyle w:val="StringTok"/>
        </w:rPr>
        <w:t xml:space="preserve">"keys"</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   of </w:t>
      </w:r>
      <w:r>
        <w:rPr>
          <w:rStyle w:val="DecValTok"/>
        </w:rPr>
        <w:t xml:space="preserve">3142</w:t>
      </w:r>
      <w:r>
        <w:rPr>
          <w:rStyle w:val="NormalTok"/>
        </w:rPr>
        <w:t xml:space="preserve"> items,         </w:t>
      </w:r>
      <w:r>
        <w:rPr>
          <w:rStyle w:val="CommentTok"/>
        </w:rPr>
        <w:t xml:space="preserve"># (trial, patient, visit, eye)</w:t>
      </w:r>
      <w:r>
        <w:br/>
      </w:r>
      <w:r>
        <w:rPr>
          <w:rStyle w:val="NormalTok"/>
        </w:rPr>
        <w:t xml:space="preserve">}</w:t>
      </w:r>
    </w:p>
    <w:p>
      <w:pPr>
        <w:pStyle w:val="FirstParagraph"/>
      </w:pPr>
      <w:r>
        <w:rPr>
          <w:bCs/>
          <w:b/>
        </w:rPr>
        <w:t xml:space="preserve">CRITICAL note on the</w:t>
      </w:r>
      <w:r>
        <w:rPr>
          <w:bCs/>
          <w:b/>
        </w:rPr>
        <w:t xml:space="preserve"> </w:t>
      </w:r>
      <w:r>
        <w:rPr>
          <w:rStyle w:val="VerbatimChar"/>
          <w:bCs/>
          <w:b/>
        </w:rPr>
        <w:t xml:space="preserve">labels</w:t>
      </w:r>
      <w:r>
        <w:rPr>
          <w:bCs/>
          <w:b/>
        </w:rPr>
        <w:t xml:space="preserve"> </w:t>
      </w:r>
      <w:r>
        <w:rPr>
          <w:bCs/>
          <w:b/>
        </w:rPr>
        <w:t xml:space="preserve">field</w:t>
      </w:r>
      <w:r>
        <w:t xml:space="preserve">: this is a binary DRIL flag (one of the 16 biomarker columns), not a multi-class DR severity label. It is only meaningful where</w:t>
      </w:r>
      <w:r>
        <w:t xml:space="preserve"> </w:t>
      </w:r>
      <w:r>
        <w:rPr>
          <w:rStyle w:val="VerbatimChar"/>
        </w:rPr>
        <w:t xml:space="preserve">has_biomarkers=True</w:t>
      </w:r>
      <w:r>
        <w:t xml:space="preserve">; elsewhere it is 0 by convention. Downstream code MUST mask by</w:t>
      </w:r>
      <w:r>
        <w:t xml:space="preserve"> </w:t>
      </w:r>
      <w:r>
        <w:rPr>
          <w:rStyle w:val="VerbatimChar"/>
        </w:rPr>
        <w:t xml:space="preserve">has_biomarkers</w:t>
      </w:r>
      <w:r>
        <w:t xml:space="preserve"> </w:t>
      </w:r>
      <w:r>
        <w:t xml:space="preserve">before computing classification loss to avoid trivially predicting 0 with 99%+ accuracy.</w:t>
      </w:r>
    </w:p>
    <w:p>
      <w:pPr>
        <w:pStyle w:val="BodyText"/>
      </w:pPr>
      <w:r>
        <w:rPr>
          <w:bCs/>
          <w:b/>
        </w:rPr>
        <w:t xml:space="preserve">CRITICAL note on the</w:t>
      </w:r>
      <w:r>
        <w:rPr>
          <w:bCs/>
          <w:b/>
        </w:rPr>
        <w:t xml:space="preserve"> </w:t>
      </w:r>
      <w:r>
        <w:rPr>
          <w:rStyle w:val="VerbatimChar"/>
          <w:bCs/>
          <w:b/>
        </w:rPr>
        <w:t xml:space="preserve">has_clinical</w:t>
      </w:r>
      <w:r>
        <w:rPr>
          <w:bCs/>
          <w:b/>
        </w:rPr>
        <w:t xml:space="preserve"> </w:t>
      </w:r>
      <w:r>
        <w:rPr>
          <w:bCs/>
          <w:b/>
        </w:rPr>
        <w:t xml:space="preserve">mask</w:t>
      </w:r>
      <w:r>
        <w:t xml:space="preserve">:</w:t>
      </w:r>
      <w:r>
        <w:t xml:space="preserve"> </w:t>
      </w:r>
      <w:r>
        <w:rPr>
          <w:rStyle w:val="VerbatimChar"/>
        </w:rPr>
        <w:t xml:space="preserve">has_clinical=True</w:t>
      </w:r>
      <w:r>
        <w:t xml:space="preserve"> </w:t>
      </w:r>
      <w:r>
        <w:t xml:space="preserve">means</w:t>
      </w:r>
      <w:r>
        <w:t xml:space="preserve"> </w:t>
      </w:r>
      <w:r>
        <w:t xml:space="preserve">“</w:t>
      </w:r>
      <w:r>
        <w:t xml:space="preserve">row exists in clinical xlsx</w:t>
      </w:r>
      <w:r>
        <w:t xml:space="preserve">”</w:t>
      </w:r>
      <w:r>
        <w:t xml:space="preserve">, not</w:t>
      </w:r>
      <w:r>
        <w:t xml:space="preserve"> </w:t>
      </w:r>
      <w:r>
        <w:t xml:space="preserve">“</w:t>
      </w:r>
      <w:r>
        <w:t xml:space="preserve">BCVA/CST values are valid</w:t>
      </w:r>
      <w:r>
        <w:t xml:space="preserve">”</w:t>
      </w:r>
      <w:r>
        <w:t xml:space="preserve">. One sample (patient 0247GOD, visit V3, OD) has</w:t>
      </w:r>
      <w:r>
        <w:t xml:space="preserve"> </w:t>
      </w:r>
      <w:r>
        <w:rPr>
          <w:rStyle w:val="VerbatimChar"/>
        </w:rPr>
        <w:t xml:space="preserve">has_clinical=True</w:t>
      </w:r>
      <w:r>
        <w:t xml:space="preserve"> </w:t>
      </w:r>
      <w:r>
        <w:t xml:space="preserve">but BCVA=NaN and CST=NaN due to OLIVES upstream data quality. Regression loss must additionally check</w:t>
      </w:r>
      <w:r>
        <w:t xml:space="preserve"> </w:t>
      </w:r>
      <w:r>
        <w:rPr>
          <w:rStyle w:val="VerbatimChar"/>
        </w:rPr>
        <w:t xml:space="preserve">~torch.isnan(bcva)</w:t>
      </w:r>
      <w:r>
        <w:t xml:space="preserve">:</w:t>
      </w:r>
    </w:p>
    <w:p>
      <w:pPr>
        <w:pStyle w:val="SourceCode"/>
      </w:pPr>
      <w:r>
        <w:rPr>
          <w:rStyle w:val="NormalTok"/>
        </w:rPr>
        <w:t xml:space="preserve">bcva_valid_mask </w:t>
      </w:r>
      <w:r>
        <w:rPr>
          <w:rStyle w:val="OperatorTok"/>
        </w:rPr>
        <w:t xml:space="preserve">=</w:t>
      </w:r>
      <w:r>
        <w:rPr>
          <w:rStyle w:val="NormalTok"/>
        </w:rPr>
        <w:t xml:space="preserve"> data[</w:t>
      </w:r>
      <w:r>
        <w:rPr>
          <w:rStyle w:val="StringTok"/>
        </w:rPr>
        <w:t xml:space="preserve">'has_clinical'</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torch.isnan(data[</w:t>
      </w:r>
      <w:r>
        <w:rPr>
          <w:rStyle w:val="StringTok"/>
        </w:rPr>
        <w:t xml:space="preserve">'bcva'</w:t>
      </w:r>
      <w:r>
        <w:rPr>
          <w:rStyle w:val="NormalTok"/>
        </w:rPr>
        <w:t xml:space="preserve">])</w:t>
      </w:r>
      <w:r>
        <w:br/>
      </w:r>
      <w:r>
        <w:rPr>
          <w:rStyle w:val="NormalTok"/>
        </w:rPr>
        <w:t xml:space="preserve">bcva_loss </w:t>
      </w:r>
      <w:r>
        <w:rPr>
          <w:rStyle w:val="OperatorTok"/>
        </w:rPr>
        <w:t xml:space="preserve">=</w:t>
      </w:r>
      <w:r>
        <w:rPr>
          <w:rStyle w:val="NormalTok"/>
        </w:rPr>
        <w:t xml:space="preserve"> mse(predictions[bcva_valid_mask], data[</w:t>
      </w:r>
      <w:r>
        <w:rPr>
          <w:rStyle w:val="StringTok"/>
        </w:rPr>
        <w:t xml:space="preserve">'bcva'</w:t>
      </w:r>
      <w:r>
        <w:rPr>
          <w:rStyle w:val="NormalTok"/>
        </w:rPr>
        <w:t xml:space="preserve">][bcva_valid_mask])</w:t>
      </w:r>
    </w:p>
    <w:bookmarkEnd w:id="40"/>
    <w:bookmarkStart w:id="41" w:name="olives-metadata.json-structure"/>
    <w:p>
      <w:pPr>
        <w:pStyle w:val="Heading3"/>
      </w:pPr>
      <w:r>
        <w:t xml:space="preserve">5.5 OLIVES</w:t>
      </w:r>
      <w:r>
        <w:t xml:space="preserve"> </w:t>
      </w:r>
      <w:r>
        <w:rPr>
          <w:rStyle w:val="VerbatimChar"/>
        </w:rPr>
        <w:t xml:space="preserve">metadata.json</w:t>
      </w:r>
      <w:r>
        <w:t xml:space="preserve"> </w:t>
      </w:r>
      <w:r>
        <w:t xml:space="preserve">structure</w:t>
      </w:r>
    </w:p>
    <w:p>
      <w:pPr>
        <w:pStyle w:val="SourceCode"/>
      </w:pPr>
      <w:r>
        <w:rPr>
          <w:rStyle w:val="FunctionTok"/>
        </w:rPr>
        <w:t xml:space="preserve">{</w:t>
      </w:r>
      <w:r>
        <w:br/>
      </w:r>
      <w:r>
        <w:rPr>
          <w:rStyle w:val="NormalTok"/>
        </w:rPr>
        <w:t xml:space="preserve">  </w:t>
      </w:r>
      <w:r>
        <w:rPr>
          <w:rStyle w:val="DataTypeTok"/>
        </w:rPr>
        <w:t xml:space="preserve">"total_images"</w:t>
      </w:r>
      <w:r>
        <w:rPr>
          <w:rStyle w:val="FunctionTok"/>
        </w:rPr>
        <w:t xml:space="preserve">:</w:t>
      </w:r>
      <w:r>
        <w:rPr>
          <w:rStyle w:val="NormalTok"/>
        </w:rPr>
        <w:t xml:space="preserve"> </w:t>
      </w:r>
      <w:r>
        <w:rPr>
          <w:rStyle w:val="DecValTok"/>
        </w:rPr>
        <w:t xml:space="preserve">3142</w:t>
      </w:r>
      <w:r>
        <w:rPr>
          <w:rStyle w:val="FunctionTok"/>
        </w:rPr>
        <w:t xml:space="preserve">,</w:t>
      </w:r>
      <w:r>
        <w:br/>
      </w:r>
      <w:r>
        <w:rPr>
          <w:rStyle w:val="NormalTok"/>
        </w:rPr>
        <w:t xml:space="preserve">  </w:t>
      </w:r>
      <w:r>
        <w:rPr>
          <w:rStyle w:val="DataTypeTok"/>
        </w:rPr>
        <w:t xml:space="preserve">"num_shards"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"image_size"</w:t>
      </w:r>
      <w:r>
        <w:rPr>
          <w:rStyle w:val="FunctionTok"/>
        </w:rPr>
        <w:t xml:space="preserve">:</w:t>
      </w:r>
      <w:r>
        <w:rPr>
          <w:rStyle w:val="NormalTok"/>
        </w:rPr>
        <w:t xml:space="preserve"> </w:t>
      </w:r>
      <w:r>
        <w:rPr>
          <w:rStyle w:val="OtherTok"/>
        </w:rPr>
        <w:t xml:space="preserve">[</w:t>
      </w:r>
      <w:r>
        <w:rPr>
          <w:rStyle w:val="DecValTok"/>
        </w:rPr>
        <w:t xml:space="preserve">224</w:t>
      </w:r>
      <w:r>
        <w:rPr>
          <w:rStyle w:val="OtherTok"/>
        </w:rPr>
        <w:t xml:space="preserve">,</w:t>
      </w:r>
      <w:r>
        <w:rPr>
          <w:rStyle w:val="NormalTok"/>
        </w:rPr>
        <w:t xml:space="preserve"> </w:t>
      </w:r>
      <w:r>
        <w:rPr>
          <w:rStyle w:val="DecValTok"/>
        </w:rPr>
        <w:t xml:space="preserve">224</w:t>
      </w:r>
      <w:r>
        <w:rPr>
          <w:rStyle w:val="OtherTok"/>
        </w:rPr>
        <w:t xml:space="preserve">]</w:t>
      </w:r>
      <w:r>
        <w:rPr>
          <w:rStyle w:val="FunctionTok"/>
        </w:rPr>
        <w:t xml:space="preserve">,</w:t>
      </w:r>
      <w:r>
        <w:br/>
      </w:r>
      <w:r>
        <w:rPr>
          <w:rStyle w:val="NormalTok"/>
        </w:rPr>
        <w:t xml:space="preserve">  </w:t>
      </w:r>
      <w:r>
        <w:rPr>
          <w:rStyle w:val="DataTypeTok"/>
        </w:rPr>
        <w:t xml:space="preserve">"normalisation"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"mean"</w:t>
      </w:r>
      <w:r>
        <w:rPr>
          <w:rStyle w:val="FunctionTok"/>
        </w:rPr>
        <w:t xml:space="preserve">:</w:t>
      </w:r>
      <w:r>
        <w:rPr>
          <w:rStyle w:val="NormalTok"/>
        </w:rPr>
        <w:t xml:space="preserve"> </w:t>
      </w:r>
      <w:r>
        <w:rPr>
          <w:rStyle w:val="OtherTok"/>
        </w:rPr>
        <w:t xml:space="preserve">[</w:t>
      </w:r>
      <w:r>
        <w:rPr>
          <w:rStyle w:val="FloatTok"/>
        </w:rPr>
        <w:t xml:space="preserve">0.485</w:t>
      </w:r>
      <w:r>
        <w:rPr>
          <w:rStyle w:val="OtherTok"/>
        </w:rPr>
        <w:t xml:space="preserve">,</w:t>
      </w:r>
      <w:r>
        <w:rPr>
          <w:rStyle w:val="NormalTok"/>
        </w:rPr>
        <w:t xml:space="preserve"> </w:t>
      </w:r>
      <w:r>
        <w:rPr>
          <w:rStyle w:val="FloatTok"/>
        </w:rPr>
        <w:t xml:space="preserve">0.456</w:t>
      </w:r>
      <w:r>
        <w:rPr>
          <w:rStyle w:val="OtherTok"/>
        </w:rPr>
        <w:t xml:space="preserve">,</w:t>
      </w:r>
      <w:r>
        <w:rPr>
          <w:rStyle w:val="NormalTok"/>
        </w:rPr>
        <w:t xml:space="preserve"> </w:t>
      </w:r>
      <w:r>
        <w:rPr>
          <w:rStyle w:val="FloatTok"/>
        </w:rPr>
        <w:t xml:space="preserve">0.406</w:t>
      </w:r>
      <w:r>
        <w:rPr>
          <w:rStyle w:val="OtherTok"/>
        </w:rPr>
        <w:t xml:space="preserve">]</w:t>
      </w:r>
      <w:r>
        <w:rPr>
          <w:rStyle w:val="FunctionTok"/>
        </w:rPr>
        <w:t xml:space="preserve">,</w:t>
      </w:r>
      <w:r>
        <w:br/>
      </w:r>
      <w:r>
        <w:rPr>
          <w:rStyle w:val="NormalTok"/>
        </w:rPr>
        <w:t xml:space="preserve">    </w:t>
      </w:r>
      <w:r>
        <w:rPr>
          <w:rStyle w:val="DataTypeTok"/>
        </w:rPr>
        <w:t xml:space="preserve">"std"</w:t>
      </w:r>
      <w:r>
        <w:rPr>
          <w:rStyle w:val="FunctionTok"/>
        </w:rPr>
        <w:t xml:space="preserve">:</w:t>
      </w:r>
      <w:r>
        <w:rPr>
          <w:rStyle w:val="NormalTok"/>
        </w:rPr>
        <w:t xml:space="preserve">  </w:t>
      </w:r>
      <w:r>
        <w:rPr>
          <w:rStyle w:val="OtherTok"/>
        </w:rPr>
        <w:t xml:space="preserve">[</w:t>
      </w:r>
      <w:r>
        <w:rPr>
          <w:rStyle w:val="FloatTok"/>
        </w:rPr>
        <w:t xml:space="preserve">0.229</w:t>
      </w:r>
      <w:r>
        <w:rPr>
          <w:rStyle w:val="OtherTok"/>
        </w:rPr>
        <w:t xml:space="preserve">,</w:t>
      </w:r>
      <w:r>
        <w:rPr>
          <w:rStyle w:val="NormalTok"/>
        </w:rPr>
        <w:t xml:space="preserve"> </w:t>
      </w:r>
      <w:r>
        <w:rPr>
          <w:rStyle w:val="FloatTok"/>
        </w:rPr>
        <w:t xml:space="preserve">0.224</w:t>
      </w:r>
      <w:r>
        <w:rPr>
          <w:rStyle w:val="OtherTok"/>
        </w:rPr>
        <w:t xml:space="preserve">,</w:t>
      </w:r>
      <w:r>
        <w:rPr>
          <w:rStyle w:val="NormalTok"/>
        </w:rPr>
        <w:t xml:space="preserve"> </w:t>
      </w:r>
      <w:r>
        <w:rPr>
          <w:rStyle w:val="FloatTok"/>
        </w:rPr>
        <w:t xml:space="preserve">0.225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"class_distribution"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"0"</w:t>
      </w:r>
      <w:r>
        <w:rPr>
          <w:rStyle w:val="FunctionTok"/>
        </w:rPr>
        <w:t xml:space="preserve">:</w:t>
      </w:r>
      <w:r>
        <w:rPr>
          <w:rStyle w:val="NormalTok"/>
        </w:rPr>
        <w:t xml:space="preserve"> </w:t>
      </w:r>
      <w:r>
        <w:rPr>
          <w:rStyle w:val="DecValTok"/>
        </w:rPr>
        <w:t xml:space="preserve">190</w:t>
      </w:r>
      <w:r>
        <w:rPr>
          <w:rStyle w:val="FunctionTok"/>
        </w:rPr>
        <w:t xml:space="preserve">,</w:t>
      </w:r>
      <w:r>
        <w:br/>
      </w:r>
      <w:r>
        <w:rPr>
          <w:rStyle w:val="NormalTok"/>
        </w:rPr>
        <w:t xml:space="preserve">    </w:t>
      </w:r>
      <w:r>
        <w:rPr>
          <w:rStyle w:val="DataTypeTok"/>
        </w:rPr>
        <w:t xml:space="preserve">"unlabelled"</w:t>
      </w:r>
      <w:r>
        <w:rPr>
          <w:rStyle w:val="FunctionTok"/>
        </w:rPr>
        <w:t xml:space="preserve">:</w:t>
      </w:r>
      <w:r>
        <w:rPr>
          <w:rStyle w:val="NormalTok"/>
        </w:rPr>
        <w:t xml:space="preserve"> </w:t>
      </w:r>
      <w:r>
        <w:rPr>
          <w:rStyle w:val="DecValTok"/>
        </w:rPr>
        <w:t xml:space="preserve">2952</w:t>
      </w:r>
      <w:r>
        <w:br/>
      </w:r>
      <w:r>
        <w:rPr>
          <w:rStyle w:val="NormalTok"/>
        </w:rPr>
        <w:t xml:space="preserve">  </w:t>
      </w:r>
      <w:r>
        <w:rPr>
          <w:rStyle w:val="FunctionTok"/>
        </w:rPr>
        <w:t xml:space="preserve">},</w:t>
      </w:r>
      <w:r>
        <w:br/>
      </w:r>
      <w:r>
        <w:rPr>
          <w:rStyle w:val="NormalTok"/>
        </w:rPr>
        <w:t xml:space="preserve">  </w:t>
      </w:r>
      <w:r>
        <w:rPr>
          <w:rStyle w:val="DataTypeTok"/>
        </w:rPr>
        <w:t xml:space="preserve">"olives_label_coverage"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"total_fundus"</w:t>
      </w:r>
      <w:r>
        <w:rPr>
          <w:rStyle w:val="FunctionTok"/>
        </w:rPr>
        <w:t xml:space="preserve">:</w:t>
      </w:r>
      <w:r>
        <w:rPr>
          <w:rStyle w:val="NormalTok"/>
        </w:rPr>
        <w:t xml:space="preserve"> </w:t>
      </w:r>
      <w:r>
        <w:rPr>
          <w:rStyle w:val="DecValTok"/>
        </w:rPr>
        <w:t xml:space="preserve">3142</w:t>
      </w:r>
      <w:r>
        <w:rPr>
          <w:rStyle w:val="FunctionTok"/>
        </w:rPr>
        <w:t xml:space="preserve">,</w:t>
      </w:r>
      <w:r>
        <w:br/>
      </w:r>
      <w:r>
        <w:rPr>
          <w:rStyle w:val="NormalTok"/>
        </w:rPr>
        <w:t xml:space="preserve">    </w:t>
      </w:r>
      <w:r>
        <w:rPr>
          <w:rStyle w:val="DataTypeTok"/>
        </w:rPr>
        <w:t xml:space="preserve">"with_clinical_labels"</w:t>
      </w:r>
      <w:r>
        <w:rPr>
          <w:rStyle w:val="FunctionTok"/>
        </w:rPr>
        <w:t xml:space="preserve">:</w:t>
      </w:r>
      <w:r>
        <w:rPr>
          <w:rStyle w:val="NormalTok"/>
        </w:rPr>
        <w:t xml:space="preserve"> </w:t>
      </w:r>
      <w:r>
        <w:rPr>
          <w:rStyle w:val="DecValTok"/>
        </w:rPr>
        <w:t xml:space="preserve">1594</w:t>
      </w:r>
      <w:r>
        <w:rPr>
          <w:rStyle w:val="FunctionTok"/>
        </w:rPr>
        <w:t xml:space="preserve">,</w:t>
      </w:r>
      <w:r>
        <w:br/>
      </w:r>
      <w:r>
        <w:rPr>
          <w:rStyle w:val="NormalTok"/>
        </w:rPr>
        <w:t xml:space="preserve">    </w:t>
      </w:r>
      <w:r>
        <w:rPr>
          <w:rStyle w:val="DataTypeTok"/>
        </w:rPr>
        <w:t xml:space="preserve">"with_biomarker_labels"</w:t>
      </w:r>
      <w:r>
        <w:rPr>
          <w:rStyle w:val="FunctionTok"/>
        </w:rPr>
        <w:t xml:space="preserve">:</w:t>
      </w:r>
      <w:r>
        <w:rPr>
          <w:rStyle w:val="NormalTok"/>
        </w:rPr>
        <w:t xml:space="preserve"> </w:t>
      </w:r>
      <w:r>
        <w:rPr>
          <w:rStyle w:val="DecValTok"/>
        </w:rPr>
        <w:t xml:space="preserve">192</w:t>
      </w:r>
      <w:r>
        <w:rPr>
          <w:rStyle w:val="FunctionTok"/>
        </w:rPr>
        <w:t xml:space="preserve">,</w:t>
      </w:r>
      <w:r>
        <w:br/>
      </w:r>
      <w:r>
        <w:rPr>
          <w:rStyle w:val="NormalTok"/>
        </w:rPr>
        <w:t xml:space="preserve">    </w:t>
      </w:r>
      <w:r>
        <w:rPr>
          <w:rStyle w:val="DataTypeTok"/>
        </w:rPr>
        <w:t xml:space="preserve">"clinical_keys_in_lookup"</w:t>
      </w:r>
      <w:r>
        <w:rPr>
          <w:rStyle w:val="FunctionTok"/>
        </w:rPr>
        <w:t xml:space="preserve">:</w:t>
      </w:r>
      <w:r>
        <w:rPr>
          <w:rStyle w:val="NormalTok"/>
        </w:rPr>
        <w:t xml:space="preserve"> </w:t>
      </w:r>
      <w:r>
        <w:rPr>
          <w:rStyle w:val="DecValTok"/>
        </w:rPr>
        <w:t xml:space="preserve">1594</w:t>
      </w:r>
      <w:r>
        <w:rPr>
          <w:rStyle w:val="FunctionTok"/>
        </w:rPr>
        <w:t xml:space="preserve">,</w:t>
      </w:r>
      <w:r>
        <w:br/>
      </w:r>
      <w:r>
        <w:rPr>
          <w:rStyle w:val="NormalTok"/>
        </w:rPr>
        <w:t xml:space="preserve">    </w:t>
      </w:r>
      <w:r>
        <w:rPr>
          <w:rStyle w:val="DataTypeTok"/>
        </w:rPr>
        <w:t xml:space="preserve">"biomarker_keys_in_lookup"</w:t>
      </w:r>
      <w:r>
        <w:rPr>
          <w:rStyle w:val="FunctionTok"/>
        </w:rPr>
        <w:t xml:space="preserve">:</w:t>
      </w:r>
      <w:r>
        <w:rPr>
          <w:rStyle w:val="NormalTok"/>
        </w:rPr>
        <w:t xml:space="preserve"> </w:t>
      </w:r>
      <w:r>
        <w:rPr>
          <w:rStyle w:val="DecValTok"/>
        </w:rPr>
        <w:t xml:space="preserve">192</w:t>
      </w:r>
      <w:r>
        <w:br/>
      </w:r>
      <w:r>
        <w:rPr>
          <w:rStyle w:val="NormalTok"/>
        </w:rPr>
        <w:t xml:space="preserve">  </w:t>
      </w:r>
      <w:r>
        <w:rPr>
          <w:rStyle w:val="FunctionTok"/>
        </w:rPr>
        <w:t xml:space="preserve">},</w:t>
      </w:r>
      <w:r>
        <w:br/>
      </w:r>
      <w:r>
        <w:rPr>
          <w:rStyle w:val="NormalTok"/>
        </w:rPr>
        <w:t xml:space="preserve">  </w:t>
      </w:r>
      <w:r>
        <w:rPr>
          <w:rStyle w:val="DataTypeTok"/>
        </w:rPr>
        <w:t xml:space="preserve">"preprocessing_date"</w:t>
      </w:r>
      <w:r>
        <w:rPr>
          <w:rStyle w:val="FunctionTok"/>
        </w:rPr>
        <w:t xml:space="preserve">:</w:t>
      </w:r>
      <w:r>
        <w:rPr>
          <w:rStyle w:val="NormalTok"/>
        </w:rPr>
        <w:t xml:space="preserve"> </w:t>
      </w:r>
      <w:r>
        <w:rPr>
          <w:rStyle w:val="StringTok"/>
        </w:rPr>
        <w:t xml:space="preserve">"2026-04-27T..."</w:t>
      </w:r>
      <w:r>
        <w:br/>
      </w:r>
      <w:r>
        <w:rPr>
          <w:rStyle w:val="FunctionTok"/>
        </w:rPr>
        <w:t xml:space="preserve">}</w:t>
      </w:r>
    </w:p>
    <w:bookmarkEnd w:id="41"/>
    <w:bookmarkStart w:id="42" w:name="eyepacs-preprocessing"/>
    <w:p>
      <w:pPr>
        <w:pStyle w:val="Heading3"/>
      </w:pPr>
      <w:r>
        <w:t xml:space="preserve">5.6 EyePACS preprocessing</w:t>
      </w:r>
    </w:p>
    <w:p>
      <w:pPr>
        <w:pStyle w:val="FirstParagraph"/>
      </w:pPr>
      <w:r>
        <w:t xml:space="preserve">The</w:t>
      </w:r>
      <w:r>
        <w:t xml:space="preserve"> </w:t>
      </w:r>
      <w:r>
        <w:rPr>
          <w:rStyle w:val="VerbatimChar"/>
        </w:rPr>
        <w:t xml:space="preserve">preprocess_eyepacs()</w:t>
      </w:r>
      <w:r>
        <w:t xml:space="preserve"> </w:t>
      </w:r>
      <w:r>
        <w:t xml:space="preserve">function runs in 4 stages:</w:t>
      </w:r>
      <w:r>
        <w:t xml:space="preserve"> </w:t>
      </w:r>
      <w:r>
        <w:t xml:space="preserve">1. Load HuggingFace dataset from local SSD (</w:t>
      </w:r>
      <w:r>
        <w:rPr>
          <w:rStyle w:val="VerbatimChar"/>
        </w:rPr>
        <w:t xml:space="preserve">/content/eyepacs_hf</w:t>
      </w:r>
      <w:r>
        <w:t xml:space="preserve">)</w:t>
      </w:r>
      <w:r>
        <w:t xml:space="preserve"> </w:t>
      </w:r>
      <w:r>
        <w:t xml:space="preserve">2. Plan sharding (8 shards of up to 5,000 images each)</w:t>
      </w:r>
      <w:r>
        <w:t xml:space="preserve"> </w:t>
      </w:r>
      <w:r>
        <w:t xml:space="preserve">3. Write shards (skipping any that already exist — resumable)</w:t>
      </w:r>
      <w:r>
        <w:t xml:space="preserve"> </w:t>
      </w:r>
      <w:r>
        <w:t xml:space="preserve">4. Write metadata.json</w:t>
      </w:r>
    </w:p>
    <w:p>
      <w:pPr>
        <w:pStyle w:val="BodyText"/>
      </w:pPr>
      <w:r>
        <w:t xml:space="preserve">EyePACS image transform pipeline is</w:t>
      </w:r>
      <w:r>
        <w:t xml:space="preserve"> </w:t>
      </w:r>
      <w:r>
        <w:rPr>
          <w:bCs/>
          <w:b/>
        </w:rPr>
        <w:t xml:space="preserve">identical</w:t>
      </w:r>
      <w:r>
        <w:t xml:space="preserve"> </w:t>
      </w:r>
      <w:r>
        <w:t xml:space="preserve">to OLIVES — same 224×224 resize, same ImageNet normalisation. This is the structural prerequisite for the shared encoder.</w:t>
      </w:r>
    </w:p>
    <w:p>
      <w:r>
        <w:pict>
          <v:rect style="width:0;height:1.5pt" o:hralign="center" o:hrstd="t" o:hr="t"/>
        </w:pict>
      </w:r>
    </w:p>
    <w:bookmarkEnd w:id="42"/>
    <w:bookmarkEnd w:id="43"/>
    <w:bookmarkStart w:id="48" w:name="bugs-found-and-fixed-during-development"/>
    <w:p>
      <w:pPr>
        <w:pStyle w:val="Heading2"/>
      </w:pPr>
      <w:r>
        <w:t xml:space="preserve">6. Bugs found and fixed during development</w:t>
      </w:r>
    </w:p>
    <w:bookmarkStart w:id="44" w:name="Xf5d8b22399987889a129409e60c78d0203c6983"/>
    <w:p>
      <w:pPr>
        <w:pStyle w:val="Heading3"/>
      </w:pPr>
      <w:r>
        <w:t xml:space="preserve">6.1 Bug 1: Wrong column name for clinical xlsx file</w:t>
      </w:r>
    </w:p>
    <w:p>
      <w:pPr>
        <w:pStyle w:val="FirstParagraph"/>
      </w:pPr>
      <w:r>
        <w:rPr>
          <w:bCs/>
          <w:b/>
        </w:rPr>
        <w:t xml:space="preserve">Symptom</w:t>
      </w:r>
      <w:r>
        <w:t xml:space="preserve">:</w:t>
      </w:r>
      <w:r>
        <w:t xml:space="preserve"> </w:t>
      </w:r>
      <w:r>
        <w:rPr>
          <w:rStyle w:val="VerbatimChar"/>
        </w:rPr>
        <w:t xml:space="preserve">KeyError: "Expected column 'Path (Trial/Arm/Folder/Visit/Eye/Image Name)' in Clinical_Data_Images.xlsx. Found: ['File_Path', 'BCVA', 'CST', 'Eye_ID', 'Patient_ID']"</w:t>
      </w:r>
    </w:p>
    <w:p>
      <w:pPr>
        <w:pStyle w:val="BodyText"/>
      </w:pPr>
      <w:r>
        <w:rPr>
          <w:bCs/>
          <w:b/>
        </w:rPr>
        <w:t xml:space="preserve">Root cause</w:t>
      </w:r>
      <w:r>
        <w:t xml:space="preserve">: Both the biomarker CSV and clinical xlsx were assumed to share the same path column name. They don’t:</w:t>
      </w:r>
      <w:r>
        <w:t xml:space="preserve"> </w:t>
      </w:r>
      <w:r>
        <w:t xml:space="preserve">- Biomarker CSV:</w:t>
      </w:r>
      <w:r>
        <w:t xml:space="preserve"> </w:t>
      </w:r>
      <w:r>
        <w:rPr>
          <w:rStyle w:val="VerbatimChar"/>
        </w:rPr>
        <w:t xml:space="preserve">Path (Trial/Arm/Folder/Visit/Eye/Image Name)</w:t>
      </w:r>
      <w:r>
        <w:t xml:space="preserve"> </w:t>
      </w:r>
      <w:r>
        <w:t xml:space="preserve">- Clinical xlsx:</w:t>
      </w:r>
      <w:r>
        <w:t xml:space="preserve"> </w:t>
      </w:r>
      <w:r>
        <w:rPr>
          <w:rStyle w:val="VerbatimChar"/>
        </w:rPr>
        <w:t xml:space="preserve">File_Path</w:t>
      </w:r>
    </w:p>
    <w:p>
      <w:pPr>
        <w:pStyle w:val="BodyText"/>
      </w:pPr>
      <w:r>
        <w:rPr>
          <w:bCs/>
          <w:b/>
        </w:rPr>
        <w:t xml:space="preserve">Fix</w:t>
      </w:r>
      <w:r>
        <w:t xml:space="preserve">: Added module constant</w:t>
      </w:r>
      <w:r>
        <w:t xml:space="preserve"> </w:t>
      </w:r>
      <w:r>
        <w:rPr>
          <w:rStyle w:val="VerbatimChar"/>
        </w:rPr>
        <w:t xml:space="preserve">CLINICAL_PATH_COLUMN = "File_Path"</w:t>
      </w:r>
      <w:r>
        <w:t xml:space="preserve"> </w:t>
      </w:r>
      <w:r>
        <w:t xml:space="preserve">and used it in</w:t>
      </w:r>
      <w:r>
        <w:t xml:space="preserve"> </w:t>
      </w:r>
      <w:r>
        <w:rPr>
          <w:rStyle w:val="VerbatimChar"/>
        </w:rPr>
        <w:t xml:space="preserve">_build_clinical_lookup()</w:t>
      </w:r>
      <w:r>
        <w:t xml:space="preserve"> </w:t>
      </w:r>
      <w:r>
        <w:t xml:space="preserve">while leaving</w:t>
      </w:r>
      <w:r>
        <w:t xml:space="preserve"> </w:t>
      </w:r>
      <w:r>
        <w:rPr>
          <w:rStyle w:val="VerbatimChar"/>
        </w:rPr>
        <w:t xml:space="preserve">_build_biomarker_lookup()</w:t>
      </w:r>
      <w:r>
        <w:t xml:space="preserve"> </w:t>
      </w:r>
      <w:r>
        <w:t xml:space="preserve">to use the original</w:t>
      </w:r>
      <w:r>
        <w:t xml:space="preserve"> </w:t>
      </w:r>
      <w:r>
        <w:rPr>
          <w:rStyle w:val="VerbatimChar"/>
        </w:rPr>
        <w:t xml:space="preserve">PATH_COLUMN</w:t>
      </w:r>
      <w:r>
        <w:t xml:space="preserve">.</w:t>
      </w:r>
    </w:p>
    <w:p>
      <w:pPr>
        <w:pStyle w:val="BodyText"/>
      </w:pPr>
      <w:r>
        <w:rPr>
          <w:bCs/>
          <w:b/>
        </w:rPr>
        <w:t xml:space="preserve">Status</w:t>
      </w:r>
      <w:r>
        <w:t xml:space="preserve">: Fixed and committed.</w:t>
      </w:r>
    </w:p>
    <w:bookmarkEnd w:id="44"/>
    <w:bookmarkStart w:id="45" w:name="X62cd3d46b7dd935f4bc54a6089ee95655bae3b4"/>
    <w:p>
      <w:pPr>
        <w:pStyle w:val="Heading3"/>
      </w:pPr>
      <w:r>
        <w:t xml:space="preserve">6.2 Bug 2: Biomarker dedup using</w:t>
      </w:r>
      <w:r>
        <w:t xml:space="preserve"> </w:t>
      </w:r>
      <w:r>
        <w:rPr>
          <w:rStyle w:val="VerbatimChar"/>
        </w:rPr>
        <w:t xml:space="preserve">keep='first'</w:t>
      </w:r>
      <w:r>
        <w:t xml:space="preserve"> </w:t>
      </w:r>
      <w:r>
        <w:t xml:space="preserve">instead of</w:t>
      </w:r>
      <w:r>
        <w:t xml:space="preserve"> </w:t>
      </w:r>
      <w:r>
        <w:rPr>
          <w:rStyle w:val="VerbatimChar"/>
        </w:rPr>
        <w:t xml:space="preserve">max</w:t>
      </w:r>
      <w:r>
        <w:t xml:space="preserve"> </w:t>
      </w:r>
      <w:r>
        <w:t xml:space="preserve">aggregation</w:t>
      </w:r>
    </w:p>
    <w:p>
      <w:pPr>
        <w:pStyle w:val="FirstParagraph"/>
      </w:pPr>
      <w:r>
        <w:rPr>
          <w:bCs/>
          <w:b/>
        </w:rPr>
        <w:t xml:space="preserve">Symptom</w:t>
      </w:r>
      <w:r>
        <w:t xml:space="preserve">: After the first end-to-end successful run, six biomarker columns showed zero positives in the saved tensor (DRIL, VMT, Fluid SRF, Disruption of RPE, PED serous, SHRM), despite having 10-233 positives in the raw CSV.</w:t>
      </w:r>
    </w:p>
    <w:p>
      <w:pPr>
        <w:pStyle w:val="BodyText"/>
      </w:pPr>
      <w:r>
        <w:rPr>
          <w:bCs/>
          <w:b/>
        </w:rPr>
        <w:t xml:space="preserve">Root cause</w:t>
      </w:r>
      <w:r>
        <w:t xml:space="preserve">: Biomarkers are annotated per OCT B-scan (~49 scans per visit-eye). A biomarker may be positive only on certain B-scans (those cutting through the affected retinal region).</w:t>
      </w:r>
      <w:r>
        <w:t xml:space="preserve"> </w:t>
      </w:r>
      <w:r>
        <w:rPr>
          <w:rStyle w:val="VerbatimChar"/>
        </w:rPr>
        <w:t xml:space="preserve">drop_duplicates(keep='first')</w:t>
      </w:r>
      <w:r>
        <w:t xml:space="preserve"> </w:t>
      </w:r>
      <w:r>
        <w:t xml:space="preserve">kept only the first row’s values per visit-eye. If the first scan in the schedule didn’t contain the affected region, the biomarker was recorded as 0 at the visit-eye level even when later scans had positives.</w:t>
      </w:r>
    </w:p>
    <w:p>
      <w:pPr>
        <w:pStyle w:val="BodyText"/>
      </w:pPr>
      <w:r>
        <w:t xml:space="preserve">This was missed initially because we incorrectly assumed biomarker values were broadcast across all OCT scans within a visit-eye (the way BCVA and CST are). They are not — biomarkers are genuinely per-scan annotations.</w:t>
      </w:r>
    </w:p>
    <w:p>
      <w:pPr>
        <w:pStyle w:val="BodyText"/>
      </w:pPr>
      <w:r>
        <w:rPr>
          <w:bCs/>
          <w:b/>
        </w:rPr>
        <w:t xml:space="preserve">Diagnostic confirming the bug</w:t>
      </w:r>
      <w:r>
        <w:t xml:space="preserve"> </w:t>
      </w:r>
      <w:r>
        <w:t xml:space="preserve">(192 visit-eye keys total):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Biomarker</w:t>
            </w:r>
          </w:p>
        </w:tc>
        <w:tc>
          <w:tcPr/>
          <w:p>
            <w:pPr>
              <w:pStyle w:val="Compact"/>
              <w:jc w:val="left"/>
            </w:pPr>
            <w:r>
              <w:t xml:space="preserve">Varies (scans differ)</w:t>
            </w:r>
          </w:p>
        </w:tc>
        <w:tc>
          <w:tcPr/>
          <w:p>
            <w:pPr>
              <w:pStyle w:val="Compact"/>
              <w:jc w:val="left"/>
            </w:pPr>
            <w:r>
              <w:t xml:space="preserve">Max=1 (any scan +ve)</w:t>
            </w:r>
          </w:p>
        </w:tc>
        <w:tc>
          <w:tcPr/>
          <w:p>
            <w:pPr>
              <w:pStyle w:val="Compact"/>
              <w:jc w:val="left"/>
            </w:pPr>
            <w:r>
              <w:t xml:space="preserve">First=1 (first scan +ve)</w:t>
            </w:r>
          </w:p>
        </w:tc>
      </w:tr>
      <w:tr>
        <w:tc>
          <w:tcPr/>
          <w:p>
            <w:pPr>
              <w:pStyle w:val="Compact"/>
              <w:jc w:val="left"/>
            </w:pPr>
            <w:r>
              <w:t xml:space="preserve">DRT/ME</w:t>
            </w:r>
          </w:p>
        </w:tc>
        <w:tc>
          <w:tcPr/>
          <w:p>
            <w:pPr>
              <w:pStyle w:val="Compact"/>
              <w:jc w:val="left"/>
            </w:pPr>
            <w:r>
              <w:t xml:space="preserve">104</w:t>
            </w:r>
          </w:p>
        </w:tc>
        <w:tc>
          <w:tcPr/>
          <w:p>
            <w:pPr>
              <w:pStyle w:val="Compact"/>
              <w:jc w:val="left"/>
            </w:pPr>
            <w:r>
              <w:t xml:space="preserve">114</w:t>
            </w:r>
          </w:p>
        </w:tc>
        <w:tc>
          <w:tcPr/>
          <w:p>
            <w:pPr>
              <w:pStyle w:val="Compact"/>
              <w:jc w:val="left"/>
            </w:pPr>
            <w:r>
              <w:t xml:space="preserve">31</w:t>
            </w:r>
          </w:p>
        </w:tc>
      </w:tr>
      <w:tr>
        <w:tc>
          <w:tcPr/>
          <w:p>
            <w:pPr>
              <w:pStyle w:val="Compact"/>
              <w:jc w:val="left"/>
            </w:pPr>
            <w:r>
              <w:t xml:space="preserve">Fluid (IRF)</w:t>
            </w:r>
          </w:p>
        </w:tc>
        <w:tc>
          <w:tcPr/>
          <w:p>
            <w:pPr>
              <w:pStyle w:val="Compact"/>
              <w:jc w:val="left"/>
            </w:pPr>
            <w:r>
              <w:t xml:space="preserve">162</w:t>
            </w:r>
          </w:p>
        </w:tc>
        <w:tc>
          <w:tcPr/>
          <w:p>
            <w:pPr>
              <w:pStyle w:val="Compact"/>
              <w:jc w:val="left"/>
            </w:pPr>
            <w:r>
              <w:t xml:space="preserve">174</w:t>
            </w:r>
          </w:p>
        </w:tc>
        <w:tc>
          <w:tcPr/>
          <w:p>
            <w:pPr>
              <w:pStyle w:val="Compact"/>
              <w:jc w:val="left"/>
            </w:pPr>
            <w:r>
              <w:t xml:space="preserve">44</w:t>
            </w:r>
          </w:p>
        </w:tc>
      </w:tr>
      <w:tr>
        <w:tc>
          <w:tcPr/>
          <w:p>
            <w:pPr>
              <w:pStyle w:val="Compact"/>
              <w:jc w:val="left"/>
            </w:pPr>
            <w:r>
              <w:t xml:space="preserve">Fluid (SRF)</w:t>
            </w:r>
          </w:p>
        </w:tc>
        <w:tc>
          <w:tcPr/>
          <w:p>
            <w:pPr>
              <w:pStyle w:val="Compact"/>
              <w:jc w:val="left"/>
            </w:pPr>
            <w:r>
              <w:t xml:space="preserve">29</w:t>
            </w:r>
          </w:p>
        </w:tc>
        <w:tc>
          <w:tcPr/>
          <w:p>
            <w:pPr>
              <w:pStyle w:val="Compact"/>
              <w:jc w:val="left"/>
            </w:pPr>
            <w:r>
              <w:t xml:space="preserve">29</w:t>
            </w:r>
          </w:p>
        </w:tc>
        <w:tc>
          <w:tcPr/>
          <w:p>
            <w:pPr>
              <w:pStyle w:val="Compact"/>
              <w:jc w:val="left"/>
            </w:pPr>
            <w:r>
              <w:t xml:space="preserve">0</w:t>
            </w:r>
          </w:p>
        </w:tc>
      </w:tr>
      <w:tr>
        <w:tc>
          <w:tcPr/>
          <w:p>
            <w:pPr>
              <w:pStyle w:val="Compact"/>
              <w:jc w:val="left"/>
            </w:pPr>
            <w:r>
              <w:t xml:space="preserve">IR HRF</w:t>
            </w:r>
          </w:p>
        </w:tc>
        <w:tc>
          <w:tcPr/>
          <w:p>
            <w:pPr>
              <w:pStyle w:val="Compact"/>
              <w:jc w:val="left"/>
            </w:pPr>
            <w:r>
              <w:t xml:space="preserve">158</w:t>
            </w:r>
          </w:p>
        </w:tc>
        <w:tc>
          <w:tcPr/>
          <w:p>
            <w:pPr>
              <w:pStyle w:val="Compact"/>
              <w:jc w:val="left"/>
            </w:pPr>
            <w:r>
              <w:t xml:space="preserve">192</w:t>
            </w:r>
          </w:p>
        </w:tc>
        <w:tc>
          <w:tcPr/>
          <w:p>
            <w:pPr>
              <w:pStyle w:val="Compact"/>
              <w:jc w:val="left"/>
            </w:pPr>
            <w:r>
              <w:t xml:space="preserve">90</w:t>
            </w:r>
          </w:p>
        </w:tc>
      </w:tr>
    </w:tbl>
    <w:p>
      <w:pPr>
        <w:pStyle w:val="BodyText"/>
      </w:pPr>
      <w:r>
        <w:t xml:space="preserve">Massive gaps between Max=1 and First=1 confirmed widespread under-counting.</w:t>
      </w:r>
    </w:p>
    <w:p>
      <w:pPr>
        <w:pStyle w:val="BodyText"/>
      </w:pPr>
      <w:r>
        <w:rPr>
          <w:bCs/>
          <w:b/>
        </w:rPr>
        <w:t xml:space="preserve">Fix</w:t>
      </w:r>
      <w:r>
        <w:t xml:space="preserve">: Replace</w:t>
      </w:r>
      <w:r>
        <w:t xml:space="preserve"> </w:t>
      </w:r>
      <w:r>
        <w:rPr>
          <w:rStyle w:val="VerbatimChar"/>
        </w:rPr>
        <w:t xml:space="preserve">drop_duplicates(subset='_key')</w:t>
      </w:r>
      <w:r>
        <w:t xml:space="preserve"> </w:t>
      </w:r>
      <w:r>
        <w:t xml:space="preserve">with</w:t>
      </w:r>
      <w:r>
        <w:t xml:space="preserve"> </w:t>
      </w:r>
      <w:r>
        <w:rPr>
          <w:rStyle w:val="VerbatimChar"/>
        </w:rPr>
        <w:t xml:space="preserve">groupby('_key')[biomarker_cols].max()</w:t>
      </w:r>
      <w:r>
        <w:t xml:space="preserve">. The</w:t>
      </w:r>
      <w:r>
        <w:t xml:space="preserve"> </w:t>
      </w:r>
      <w:r>
        <w:rPr>
          <w:rStyle w:val="VerbatimChar"/>
        </w:rPr>
        <w:t xml:space="preserve">max</w:t>
      </w:r>
      <w:r>
        <w:t xml:space="preserve"> </w:t>
      </w:r>
      <w:r>
        <w:t xml:space="preserve">aggregation is the correct semantic:</w:t>
      </w:r>
      <w:r>
        <w:t xml:space="preserve"> </w:t>
      </w:r>
      <w:r>
        <w:t xml:space="preserve">“</w:t>
      </w:r>
      <w:r>
        <w:t xml:space="preserve">any positive scan → visit-eye is positive</w:t>
      </w:r>
      <w:r>
        <w:t xml:space="preserve">”</w:t>
      </w:r>
      <w:r>
        <w:t xml:space="preserve">, which matches how a clinician would summarise biomarker presence at the visit level.</w:t>
      </w:r>
    </w:p>
    <w:p>
      <w:pPr>
        <w:pStyle w:val="BodyText"/>
      </w:pPr>
      <w:r>
        <w:rPr>
          <w:bCs/>
          <w:b/>
        </w:rPr>
        <w:t xml:space="preserve">Status</w:t>
      </w:r>
      <w:r>
        <w:t xml:space="preserve">: Fixed and committed. Post-fix biomarker positive counts confirmed accurate (e.g. DRT/ME jumped from 31 → 114, IRF from 44 → 174, SRF from 0 → 29 at the 192-key level).</w:t>
      </w:r>
    </w:p>
    <w:p>
      <w:pPr>
        <w:pStyle w:val="BodyText"/>
      </w:pPr>
      <w:r>
        <w:t xml:space="preserve">This bug fix is methodologically defensible and worth mentioning in the dissertation methods chapter as evidence of preprocessing rigour.</w:t>
      </w:r>
    </w:p>
    <w:bookmarkEnd w:id="45"/>
    <w:bookmarkStart w:id="46" w:name="bug-3-prime_full-.tif.png-duplication"/>
    <w:p>
      <w:pPr>
        <w:pStyle w:val="Heading3"/>
      </w:pPr>
      <w:r>
        <w:t xml:space="preserve">6.3 Bug 3: Prime_FULL</w:t>
      </w:r>
      <w:r>
        <w:t xml:space="preserve"> </w:t>
      </w:r>
      <w:r>
        <w:rPr>
          <w:rStyle w:val="VerbatimChar"/>
        </w:rPr>
        <w:t xml:space="preserve">.tif</w:t>
      </w:r>
      <w:r>
        <w:t xml:space="preserve">/</w:t>
      </w:r>
      <w:r>
        <w:rPr>
          <w:rStyle w:val="VerbatimChar"/>
        </w:rPr>
        <w:t xml:space="preserve">.png</w:t>
      </w:r>
      <w:r>
        <w:t xml:space="preserve"> </w:t>
      </w:r>
      <w:r>
        <w:t xml:space="preserve">duplication</w:t>
      </w:r>
    </w:p>
    <w:p>
      <w:pPr>
        <w:pStyle w:val="FirstParagraph"/>
      </w:pPr>
      <w:r>
        <w:rPr>
          <w:bCs/>
          <w:b/>
        </w:rPr>
        <w:t xml:space="preserve">Symptom</w:t>
      </w:r>
      <w:r>
        <w:t xml:space="preserve">: After the three-tier preprocessing was working, the dataset reported 4,435 fundus images, but a per-trial diagnostic showed only 3,142 unique visit-eyes. The discrepancy was concentrated in Prime_FULL (2,586 files for 1,293 unique visit-eyes — exactly 2× duplication).</w:t>
      </w:r>
    </w:p>
    <w:p>
      <w:pPr>
        <w:pStyle w:val="BodyText"/>
      </w:pPr>
      <w:r>
        <w:rPr>
          <w:bCs/>
          <w:b/>
        </w:rPr>
        <w:t xml:space="preserve">Root cause</w:t>
      </w:r>
      <w:r>
        <w:t xml:space="preserve">: Prime_FULL stores the same fundus image in both</w:t>
      </w:r>
      <w:r>
        <w:t xml:space="preserve"> </w:t>
      </w:r>
      <w:r>
        <w:rPr>
          <w:rStyle w:val="VerbatimChar"/>
        </w:rPr>
        <w:t xml:space="preserve">.tif</w:t>
      </w:r>
      <w:r>
        <w:t xml:space="preserve"> </w:t>
      </w:r>
      <w:r>
        <w:t xml:space="preserve">(lossless) and</w:t>
      </w:r>
      <w:r>
        <w:t xml:space="preserve"> </w:t>
      </w:r>
      <w:r>
        <w:rPr>
          <w:rStyle w:val="VerbatimChar"/>
        </w:rPr>
        <w:t xml:space="preserve">.png</w:t>
      </w:r>
      <w:r>
        <w:t xml:space="preserve"> </w:t>
      </w:r>
      <w:r>
        <w:t xml:space="preserve">formats for every visit-eye. TREX DME has only</w:t>
      </w:r>
      <w:r>
        <w:t xml:space="preserve"> </w:t>
      </w:r>
      <w:r>
        <w:rPr>
          <w:rStyle w:val="VerbatimChar"/>
        </w:rPr>
        <w:t xml:space="preserve">.tif</w:t>
      </w:r>
      <w:r>
        <w:t xml:space="preserve">. Without preprocessing-time deduplication, every Prime_FULL fundus image was treated as two separate dataset entries, biasing training toward Prime patterns and creating patient leakage risk for any patient-aware split.</w:t>
      </w:r>
    </w:p>
    <w:p>
      <w:pPr>
        <w:pStyle w:val="BodyText"/>
      </w:pPr>
      <w:r>
        <w:rPr>
          <w:bCs/>
          <w:b/>
        </w:rPr>
        <w:t xml:space="preserve">Validated against the OLIVES paper</w:t>
      </w:r>
      <w:r>
        <w:t xml:space="preserve">: After applying</w:t>
      </w:r>
      <w:r>
        <w:t xml:space="preserve"> </w:t>
      </w:r>
      <w:r>
        <w:rPr>
          <w:rStyle w:val="VerbatimChar"/>
        </w:rPr>
        <w:t xml:space="preserve">.tif</w:t>
      </w:r>
      <w:r>
        <w:t xml:space="preserve">/</w:t>
      </w:r>
      <w:r>
        <w:rPr>
          <w:rStyle w:val="VerbatimChar"/>
        </w:rPr>
        <w:t xml:space="preserve">.png</w:t>
      </w:r>
      <w:r>
        <w:t xml:space="preserve"> </w:t>
      </w:r>
      <w:r>
        <w:t xml:space="preserve">dedup, our dataset matches the paper’s reported cohort exactly (96 patients, ~16 visits per eye), confirming this was an artefact of file storage rather than legitimate dataset duplication.</w:t>
      </w:r>
    </w:p>
    <w:p>
      <w:pPr>
        <w:pStyle w:val="BodyText"/>
      </w:pPr>
      <w:r>
        <w:rPr>
          <w:bCs/>
          <w:b/>
        </w:rPr>
        <w:t xml:space="preserve">Fix</w:t>
      </w:r>
      <w:r>
        <w:t xml:space="preserve">: Added a deduplication step at the end of stage 4 (walking scratch dir) that groups fundus paths by</w:t>
      </w:r>
      <w:r>
        <w:t xml:space="preserve"> </w:t>
      </w:r>
      <w:r>
        <w:rPr>
          <w:rStyle w:val="VerbatimChar"/>
        </w:rPr>
        <w:t xml:space="preserve">(trial, patient, visit, eye)</w:t>
      </w:r>
      <w:r>
        <w:t xml:space="preserve"> </w:t>
      </w:r>
      <w:r>
        <w:t xml:space="preserve">key and keeps</w:t>
      </w:r>
      <w:r>
        <w:t xml:space="preserve"> </w:t>
      </w:r>
      <w:r>
        <w:rPr>
          <w:rStyle w:val="VerbatimChar"/>
        </w:rPr>
        <w:t xml:space="preserve">.tif</w:t>
      </w:r>
      <w:r>
        <w:t xml:space="preserve"> </w:t>
      </w:r>
      <w:r>
        <w:t xml:space="preserve">over</w:t>
      </w:r>
      <w:r>
        <w:t xml:space="preserve"> </w:t>
      </w:r>
      <w:r>
        <w:rPr>
          <w:rStyle w:val="VerbatimChar"/>
        </w:rPr>
        <w:t xml:space="preserve">.png</w:t>
      </w:r>
      <w:r>
        <w:t xml:space="preserve"> </w:t>
      </w:r>
      <w:r>
        <w:t xml:space="preserve">when both exist. Reports number of duplicates removed.</w:t>
      </w:r>
    </w:p>
    <w:p>
      <w:pPr>
        <w:pStyle w:val="BodyText"/>
      </w:pPr>
      <w:r>
        <w:rPr>
          <w:bCs/>
          <w:b/>
        </w:rPr>
        <w:t xml:space="preserve">Status</w:t>
      </w:r>
      <w:r>
        <w:t xml:space="preserve">: Fixed and committed. Post-fix counts: 1,849 TREX DME + 1,293 Prime_FULL = 3,142 total fundus, matching paper cohort exactly.</w:t>
      </w:r>
    </w:p>
    <w:p>
      <w:pPr>
        <w:pStyle w:val="BodyText"/>
      </w:pPr>
      <w:r>
        <w:t xml:space="preserve">This is the third preprocessing fix and brings the dataset to its final reconciled state.</w:t>
      </w:r>
    </w:p>
    <w:bookmarkEnd w:id="46"/>
    <w:bookmarkStart w:id="47" w:name="Xfd22b00dd109d6ca068a369f595e853ced7eb61"/>
    <w:p>
      <w:pPr>
        <w:pStyle w:val="Heading3"/>
      </w:pPr>
      <w:r>
        <w:t xml:space="preserve">6.4 Data quality finding (not a bug): one visit-eye with NaN clinical values</w:t>
      </w:r>
    </w:p>
    <w:p>
      <w:pPr>
        <w:pStyle w:val="FirstParagraph"/>
      </w:pPr>
      <w:r>
        <w:t xml:space="preserve">Patient</w:t>
      </w:r>
      <w:r>
        <w:t xml:space="preserve"> </w:t>
      </w:r>
      <w:r>
        <w:rPr>
          <w:rStyle w:val="VerbatimChar"/>
        </w:rPr>
        <w:t xml:space="preserve">0247GOD</w:t>
      </w:r>
      <w:r>
        <w:t xml:space="preserve">, visit V3, OD has a row in</w:t>
      </w:r>
      <w:r>
        <w:t xml:space="preserve"> </w:t>
      </w:r>
      <w:r>
        <w:rPr>
          <w:rStyle w:val="VerbatimChar"/>
        </w:rPr>
        <w:t xml:space="preserve">Clinical_Data_Images.xlsx</w:t>
      </w:r>
      <w:r>
        <w:t xml:space="preserve"> </w:t>
      </w:r>
      <w:r>
        <w:t xml:space="preserve">where BCVA and CST are both NaN. This is genuine OLIVES data quality (the visit was recorded but measurements were missing) and propagates to one sample in the saved tensor where</w:t>
      </w:r>
      <w:r>
        <w:t xml:space="preserve"> </w:t>
      </w:r>
      <w:r>
        <w:rPr>
          <w:rStyle w:val="VerbatimChar"/>
        </w:rPr>
        <w:t xml:space="preserve">has_clinical=True</w:t>
      </w:r>
      <w:r>
        <w:t xml:space="preserve"> </w:t>
      </w:r>
      <w:r>
        <w:t xml:space="preserve">but</w:t>
      </w:r>
      <w:r>
        <w:t xml:space="preserve"> </w:t>
      </w:r>
      <w:r>
        <w:rPr>
          <w:rStyle w:val="VerbatimChar"/>
        </w:rPr>
        <w:t xml:space="preserve">bcva=NaN</w:t>
      </w:r>
      <w:r>
        <w:t xml:space="preserve">.</w:t>
      </w:r>
    </w:p>
    <w:p>
      <w:pPr>
        <w:pStyle w:val="BodyText"/>
      </w:pPr>
      <w:r>
        <w:rPr>
          <w:bCs/>
          <w:b/>
        </w:rPr>
        <w:t xml:space="preserve">Implication for downstream code</w:t>
      </w:r>
      <w:r>
        <w:t xml:space="preserve">: see CRITICAL note on</w:t>
      </w:r>
      <w:r>
        <w:t xml:space="preserve"> </w:t>
      </w:r>
      <w:r>
        <w:rPr>
          <w:rStyle w:val="VerbatimChar"/>
        </w:rPr>
        <w:t xml:space="preserve">has_clinical</w:t>
      </w:r>
      <w:r>
        <w:t xml:space="preserve"> </w:t>
      </w:r>
      <w:r>
        <w:t xml:space="preserve">in Section 5.4. Regression loss must additionally check</w:t>
      </w:r>
      <w:r>
        <w:t xml:space="preserve"> </w:t>
      </w:r>
      <w:r>
        <w:rPr>
          <w:rStyle w:val="VerbatimChar"/>
        </w:rPr>
        <w:t xml:space="preserve">~torch.isnan(bcva)</w:t>
      </w:r>
      <w:r>
        <w:t xml:space="preserve">.</w:t>
      </w:r>
    </w:p>
    <w:p>
      <w:r>
        <w:pict>
          <v:rect style="width:0;height:1.5pt" o:hralign="center" o:hrstd="t" o:hr="t"/>
        </w:pict>
      </w:r>
    </w:p>
    <w:bookmarkEnd w:id="47"/>
    <w:bookmarkEnd w:id="48"/>
    <w:bookmarkStart w:id="51" w:name="cross-dataset-compatibility-analysis"/>
    <w:p>
      <w:pPr>
        <w:pStyle w:val="Heading2"/>
      </w:pPr>
      <w:r>
        <w:t xml:space="preserve">7. Cross-dataset compatibility analysis</w:t>
      </w:r>
    </w:p>
    <w:bookmarkStart w:id="49" w:name="structural-compatibility-confirmed"/>
    <w:p>
      <w:pPr>
        <w:pStyle w:val="Heading3"/>
      </w:pPr>
      <w:r>
        <w:t xml:space="preserve">7.1 Structural compatibility (confirmed)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EyePACS</w:t>
            </w:r>
          </w:p>
        </w:tc>
        <w:tc>
          <w:tcPr/>
          <w:p>
            <w:pPr>
              <w:pStyle w:val="Compact"/>
              <w:jc w:val="left"/>
            </w:pPr>
            <w:r>
              <w:t xml:space="preserve">OLIVES</w:t>
            </w:r>
          </w:p>
        </w:tc>
      </w:tr>
      <w:tr>
        <w:tc>
          <w:tcPr/>
          <w:p>
            <w:pPr>
              <w:pStyle w:val="Compact"/>
              <w:jc w:val="left"/>
            </w:pPr>
            <w:r>
              <w:t xml:space="preserve">Image shape</w:t>
            </w:r>
          </w:p>
        </w:tc>
        <w:tc>
          <w:tcPr/>
          <w:p>
            <w:pPr>
              <w:pStyle w:val="Compact"/>
              <w:jc w:val="left"/>
            </w:pPr>
            <w:r>
              <w:t xml:space="preserve">(3, 224, 224)</w:t>
            </w:r>
          </w:p>
        </w:tc>
        <w:tc>
          <w:tcPr/>
          <w:p>
            <w:pPr>
              <w:pStyle w:val="Compact"/>
              <w:jc w:val="left"/>
            </w:pPr>
            <w:r>
              <w:t xml:space="preserve">(3, 224, 224) ✓</w:t>
            </w:r>
          </w:p>
        </w:tc>
      </w:tr>
      <w:tr>
        <w:tc>
          <w:tcPr/>
          <w:p>
            <w:pPr>
              <w:pStyle w:val="Compact"/>
              <w:jc w:val="left"/>
            </w:pPr>
            <w:r>
              <w:t xml:space="preserve">Dtype</w:t>
            </w:r>
          </w:p>
        </w:tc>
        <w:tc>
          <w:tcPr/>
          <w:p>
            <w:pPr>
              <w:pStyle w:val="Compact"/>
              <w:jc w:val="left"/>
            </w:pPr>
            <w:r>
              <w:t xml:space="preserve">torch.float32</w:t>
            </w:r>
          </w:p>
        </w:tc>
        <w:tc>
          <w:tcPr/>
          <w:p>
            <w:pPr>
              <w:pStyle w:val="Compact"/>
              <w:jc w:val="left"/>
            </w:pPr>
            <w:r>
              <w:t xml:space="preserve">torch.float32 ✓</w:t>
            </w:r>
          </w:p>
        </w:tc>
      </w:tr>
      <w:tr>
        <w:tc>
          <w:tcPr/>
          <w:p>
            <w:pPr>
              <w:pStyle w:val="Compact"/>
              <w:jc w:val="left"/>
            </w:pPr>
            <w:r>
              <w:t xml:space="preserve">Normalisation</w:t>
            </w:r>
          </w:p>
        </w:tc>
        <w:tc>
          <w:tcPr/>
          <w:p>
            <w:pPr>
              <w:pStyle w:val="Compact"/>
              <w:jc w:val="left"/>
            </w:pPr>
            <w:r>
              <w:t xml:space="preserve">ImageNet means/stds</w:t>
            </w:r>
          </w:p>
        </w:tc>
        <w:tc>
          <w:tcPr/>
          <w:p>
            <w:pPr>
              <w:pStyle w:val="Compact"/>
              <w:jc w:val="left"/>
            </w:pPr>
            <w:r>
              <w:t xml:space="preserve">ImageNet means/stds ✓</w:t>
            </w:r>
          </w:p>
        </w:tc>
      </w:tr>
    </w:tbl>
    <w:p>
      <w:pPr>
        <w:pStyle w:val="BodyText"/>
      </w:pPr>
      <w:r>
        <w:t xml:space="preserve">The shared encoder is mechanically able to consume either dataset.</w:t>
      </w:r>
    </w:p>
    <w:bookmarkEnd w:id="49"/>
    <w:bookmarkStart w:id="50" w:name="X019d846751a6dc2f617a2cf7bd6e2672cfc1884"/>
    <w:p>
      <w:pPr>
        <w:pStyle w:val="Heading3"/>
      </w:pPr>
      <w:r>
        <w:t xml:space="preserve">7.2 Distribution shift between datasets (characterised)</w:t>
      </w:r>
    </w:p>
    <w:p>
      <w:pPr>
        <w:pStyle w:val="FirstParagraph"/>
      </w:pPr>
      <w:r>
        <w:t xml:space="preserve">Per-channel statistics across 200-image samples after ImageNet normalisation: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R mean</w:t>
            </w:r>
          </w:p>
        </w:tc>
        <w:tc>
          <w:tcPr/>
          <w:p>
            <w:pPr>
              <w:pStyle w:val="Compact"/>
              <w:jc w:val="left"/>
            </w:pPr>
            <w:r>
              <w:t xml:space="preserve">G mean</w:t>
            </w:r>
          </w:p>
        </w:tc>
        <w:tc>
          <w:tcPr/>
          <w:p>
            <w:pPr>
              <w:pStyle w:val="Compact"/>
              <w:jc w:val="left"/>
            </w:pPr>
            <w:r>
              <w:t xml:space="preserve">B mean</w:t>
            </w:r>
          </w:p>
        </w:tc>
        <w:tc>
          <w:tcPr/>
          <w:p>
            <w:pPr>
              <w:pStyle w:val="Compact"/>
              <w:jc w:val="left"/>
            </w:pPr>
            <w:r>
              <w:t xml:space="preserve">Aggregate mean</w:t>
            </w:r>
          </w:p>
        </w:tc>
        <w:tc>
          <w:tcPr/>
          <w:p>
            <w:pPr>
              <w:pStyle w:val="Compact"/>
              <w:jc w:val="left"/>
            </w:pPr>
            <w:r>
              <w:t xml:space="preserve">Aggregate std</w:t>
            </w:r>
          </w:p>
        </w:tc>
      </w:tr>
      <w:tr>
        <w:tc>
          <w:tcPr/>
          <w:p>
            <w:pPr>
              <w:pStyle w:val="Compact"/>
              <w:jc w:val="left"/>
            </w:pPr>
            <w:r>
              <w:t xml:space="preserve">EyePACS</w:t>
            </w:r>
          </w:p>
        </w:tc>
        <w:tc>
          <w:tcPr/>
          <w:p>
            <w:pPr>
              <w:pStyle w:val="Compact"/>
              <w:jc w:val="left"/>
            </w:pPr>
            <w:r>
              <w:t xml:space="preserve">-0.250</w:t>
            </w:r>
          </w:p>
        </w:tc>
        <w:tc>
          <w:tcPr/>
          <w:p>
            <w:pPr>
              <w:pStyle w:val="Compact"/>
              <w:jc w:val="left"/>
            </w:pPr>
            <w:r>
              <w:t xml:space="preserve">-0.697</w:t>
            </w:r>
          </w:p>
        </w:tc>
        <w:tc>
          <w:tcPr/>
          <w:p>
            <w:pPr>
              <w:pStyle w:val="Compact"/>
              <w:jc w:val="left"/>
            </w:pPr>
            <w:r>
              <w:t xml:space="preserve">-0.869</w:t>
            </w:r>
          </w:p>
        </w:tc>
        <w:tc>
          <w:tcPr/>
          <w:p>
            <w:pPr>
              <w:pStyle w:val="Compact"/>
              <w:jc w:val="left"/>
            </w:pPr>
            <w:r>
              <w:rPr>
                <w:bCs/>
                <w:b/>
              </w:rPr>
              <w:t xml:space="preserve">-0.605</w:t>
            </w:r>
          </w:p>
        </w:tc>
        <w:tc>
          <w:tcPr/>
          <w:p>
            <w:pPr>
              <w:pStyle w:val="Compact"/>
              <w:jc w:val="left"/>
            </w:pPr>
            <w:r>
              <w:t xml:space="preserve">1.023</w:t>
            </w:r>
          </w:p>
        </w:tc>
      </w:tr>
      <w:tr>
        <w:tc>
          <w:tcPr/>
          <w:p>
            <w:pPr>
              <w:pStyle w:val="Compact"/>
              <w:jc w:val="left"/>
            </w:pPr>
            <w:r>
              <w:t xml:space="preserve">OLIVES</w:t>
            </w:r>
          </w:p>
        </w:tc>
        <w:tc>
          <w:tcPr/>
          <w:p>
            <w:pPr>
              <w:pStyle w:val="Compact"/>
              <w:jc w:val="left"/>
            </w:pPr>
            <w:r>
              <w:t xml:space="preserve">-0.093</w:t>
            </w:r>
          </w:p>
        </w:tc>
        <w:tc>
          <w:tcPr/>
          <w:p>
            <w:pPr>
              <w:pStyle w:val="Compact"/>
              <w:jc w:val="left"/>
            </w:pPr>
            <w:r>
              <w:t xml:space="preserve">+0.034</w:t>
            </w:r>
          </w:p>
        </w:tc>
        <w:tc>
          <w:tcPr/>
          <w:p>
            <w:pPr>
              <w:pStyle w:val="Compact"/>
              <w:jc w:val="left"/>
            </w:pPr>
            <w:r>
              <w:t xml:space="preserve">+0.256</w:t>
            </w:r>
          </w:p>
        </w:tc>
        <w:tc>
          <w:tcPr/>
          <w:p>
            <w:pPr>
              <w:pStyle w:val="Compact"/>
              <w:jc w:val="left"/>
            </w:pPr>
            <w:r>
              <w:rPr>
                <w:bCs/>
                <w:b/>
              </w:rPr>
              <w:t xml:space="preserve">+0.065</w:t>
            </w:r>
          </w:p>
        </w:tc>
        <w:tc>
          <w:tcPr/>
          <w:p>
            <w:pPr>
              <w:pStyle w:val="Compact"/>
              <w:jc w:val="left"/>
            </w:pPr>
            <w:r>
              <w:t xml:space="preserve">0.769</w:t>
            </w:r>
          </w:p>
        </w:tc>
      </w:tr>
    </w:tbl>
    <w:p>
      <w:pPr>
        <w:pStyle w:val="BodyText"/>
      </w:pPr>
      <w:r>
        <w:t xml:space="preserve">Black-pixel proportion (raw R &lt; ~0.06):</w:t>
      </w:r>
      <w:r>
        <w:t xml:space="preserve"> </w:t>
      </w:r>
      <w:r>
        <w:t xml:space="preserve">- EyePACS:</w:t>
      </w:r>
      <w:r>
        <w:t xml:space="preserve"> </w:t>
      </w:r>
      <w:r>
        <w:rPr>
          <w:bCs/>
          <w:b/>
        </w:rPr>
        <w:t xml:space="preserve">20.15%</w:t>
      </w:r>
      <w:r>
        <w:t xml:space="preserve"> </w:t>
      </w:r>
      <w:r>
        <w:t xml:space="preserve">of pixels</w:t>
      </w:r>
      <w:r>
        <w:t xml:space="preserve"> </w:t>
      </w:r>
      <w:r>
        <w:t xml:space="preserve">- OLIVES:</w:t>
      </w:r>
      <w:r>
        <w:t xml:space="preserve"> </w:t>
      </w:r>
      <w:r>
        <w:rPr>
          <w:bCs/>
          <w:b/>
        </w:rPr>
        <w:t xml:space="preserve">4.62%</w:t>
      </w:r>
      <w:r>
        <w:t xml:space="preserve"> </w:t>
      </w:r>
      <w:r>
        <w:t xml:space="preserve">of pixels</w:t>
      </w:r>
    </w:p>
    <w:p>
      <w:pPr>
        <w:pStyle w:val="BodyText"/>
      </w:pPr>
      <w:r>
        <w:rPr>
          <w:bCs/>
          <w:b/>
        </w:rPr>
        <w:t xml:space="preserve">Interpretation</w:t>
      </w:r>
      <w:r>
        <w:t xml:space="preserve">: EyePACS images contain substantial field-stop black border (the dark perimeter of the camera’s circular field of view), which drags per-channel means strongly negative and inflates contrast. OLIVES images have minimal border (different acquisition equipment) and are mostly retinal content, with distribution closer to ImageNet zero-mean.</w:t>
      </w:r>
    </w:p>
    <w:p>
      <w:pPr>
        <w:pStyle w:val="BodyText"/>
      </w:pPr>
      <w:r>
        <w:rPr>
          <w:bCs/>
          <w:b/>
        </w:rPr>
        <w:t xml:space="preserve">Methodological framing</w:t>
      </w:r>
      <w:r>
        <w:t xml:space="preserve">: This domain shift is not a bug — it is exactly the situation that motivates cross-dataset contrastive alignment in the shared encoder architecture. The shared encoder must learn representations invariant to acquisition geometry (field-stop, framing) while preserving retinal pathology features. The distribution gap becomes part of the methodological narrative rather than a problem to solve before training.</w:t>
      </w:r>
    </w:p>
    <w:p>
      <w:pPr>
        <w:pStyle w:val="BodyText"/>
      </w:pPr>
      <w:r>
        <w:rPr>
          <w:bCs/>
          <w:b/>
        </w:rPr>
        <w:t xml:space="preserve">Phase 1 confirmation</w:t>
      </w:r>
      <w:r>
        <w:t xml:space="preserve"> </w:t>
      </w:r>
      <w:r>
        <w:t xml:space="preserve">(post-preprocessing): downstream feature-level analysis using ResNet-50 ImageNet features confirmed this pixel-level shift propagates to feature space (FID=240.65, MMD² p&lt;0.0001) but is dominantly</w:t>
      </w:r>
      <w:r>
        <w:t xml:space="preserve"> </w:t>
      </w:r>
      <w:r>
        <w:rPr>
          <w:bCs/>
          <w:b/>
        </w:rPr>
        <w:t xml:space="preserve">acquisition-driven rather than pathology-driven</w:t>
      </w:r>
      <w:r>
        <w:t xml:space="preserve"> </w:t>
      </w:r>
      <w:r>
        <w:t xml:space="preserve">— DR severity classes intermix on the dominant separation axis (PC1) while black-pixel proportion correlates strongly with PC1 (ρ=-0.274, p=1.12×10⁻³⁵). See</w:t>
      </w:r>
      <w:r>
        <w:t xml:space="preserve"> </w:t>
      </w:r>
      <w:r>
        <w:rPr>
          <w:rStyle w:val="VerbatimChar"/>
        </w:rPr>
        <w:t xml:space="preserve">METHODOLOGY.md</w:t>
      </w:r>
      <w:r>
        <w:t xml:space="preserve"> </w:t>
      </w:r>
      <w:r>
        <w:t xml:space="preserve">Section</w:t>
      </w:r>
      <w:r>
        <w:t xml:space="preserve"> </w:t>
      </w:r>
      <w:r>
        <w:t xml:space="preserve">“</w:t>
      </w:r>
      <w:r>
        <w:t xml:space="preserve">Phase 1: Distributional validation</w:t>
      </w:r>
      <w:r>
        <w:t xml:space="preserve">”</w:t>
      </w:r>
      <w:r>
        <w:t xml:space="preserve"> </w:t>
      </w:r>
      <w:r>
        <w:t xml:space="preserve">for the full analysis. This mechanism-level evidence supports the bridgeability of the shift via cross-dataset contrastive alignment.</w:t>
      </w:r>
    </w:p>
    <w:p>
      <w:r>
        <w:pict>
          <v:rect style="width:0;height:1.5pt" o:hralign="center" o:hrstd="t" o:hr="t"/>
        </w:pict>
      </w:r>
    </w:p>
    <w:bookmarkEnd w:id="50"/>
    <w:bookmarkEnd w:id="51"/>
    <w:bookmarkStart w:id="52" w:name="summary-of-preprocessing-state"/>
    <w:p>
      <w:pPr>
        <w:pStyle w:val="Heading2"/>
      </w:pPr>
      <w:r>
        <w:t xml:space="preserve">8. Summary of preprocessing state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Status</w:t>
            </w:r>
          </w:p>
        </w:tc>
      </w:tr>
      <w:tr>
        <w:tc>
          <w:tcPr/>
          <w:p>
            <w:pPr>
              <w:pStyle w:val="Compact"/>
              <w:jc w:val="left"/>
            </w:pPr>
            <w:r>
              <w:t xml:space="preserve">EyePACS preprocessing</w:t>
            </w:r>
          </w:p>
        </w:tc>
        <w:tc>
          <w:tcPr/>
          <w:p>
            <w:pPr>
              <w:pStyle w:val="Compact"/>
              <w:jc w:val="left"/>
            </w:pPr>
            <w:r>
              <w:t xml:space="preserve">Complete: 35,108 images, 8 shards, 5-class DR labels</w:t>
            </w:r>
          </w:p>
        </w:tc>
      </w:tr>
      <w:tr>
        <w:tc>
          <w:tcPr/>
          <w:p>
            <w:pPr>
              <w:pStyle w:val="Compact"/>
              <w:jc w:val="left"/>
            </w:pPr>
            <w:r>
              <w:t xml:space="preserve">OLIVES preprocessing</w:t>
            </w:r>
          </w:p>
        </w:tc>
        <w:tc>
          <w:tcPr/>
          <w:p>
            <w:pPr>
              <w:pStyle w:val="Compact"/>
              <w:jc w:val="left"/>
            </w:pPr>
            <w:r>
              <w:t xml:space="preserve">Complete: 3,142 unique fundus images, three-tier labels</w:t>
            </w:r>
          </w:p>
        </w:tc>
      </w:tr>
      <w:tr>
        <w:tc>
          <w:tcPr/>
          <w:p>
            <w:pPr>
              <w:pStyle w:val="Compact"/>
              <w:jc w:val="left"/>
            </w:pPr>
            <w:r>
              <w:t xml:space="preserve">Cross-dataset structural compatibility</w:t>
            </w:r>
          </w:p>
        </w:tc>
        <w:tc>
          <w:tcPr/>
          <w:p>
            <w:pPr>
              <w:pStyle w:val="Compact"/>
              <w:jc w:val="left"/>
            </w:pPr>
            <w:r>
              <w:t xml:space="preserve">Confirmed</w:t>
            </w:r>
          </w:p>
        </w:tc>
      </w:tr>
      <w:tr>
        <w:tc>
          <w:tcPr/>
          <w:p>
            <w:pPr>
              <w:pStyle w:val="Compact"/>
              <w:jc w:val="left"/>
            </w:pPr>
            <w:r>
              <w:t xml:space="preserve">Domain shift characterisation</w:t>
            </w:r>
          </w:p>
        </w:tc>
        <w:tc>
          <w:tcPr/>
          <w:p>
            <w:pPr>
              <w:pStyle w:val="Compact"/>
              <w:jc w:val="left"/>
            </w:pPr>
            <w:r>
              <w:t xml:space="preserve">Documented (motivates cross-dataset contrastive alignment)</w:t>
            </w:r>
          </w:p>
        </w:tc>
      </w:tr>
      <w:tr>
        <w:tc>
          <w:tcPr/>
          <w:p>
            <w:pPr>
              <w:pStyle w:val="Compact"/>
              <w:jc w:val="left"/>
            </w:pPr>
            <w:r>
              <w:t xml:space="preserve">Phase 1 distributional validation</w:t>
            </w:r>
          </w:p>
        </w:tc>
        <w:tc>
          <w:tcPr/>
          <w:p>
            <w:pPr>
              <w:pStyle w:val="Compact"/>
              <w:jc w:val="left"/>
            </w:pPr>
            <w:r>
              <w:t xml:space="preserve">Complete (FID=240.65, MMD² p&lt;0.0001, mechanism-confirmed acquisition-driven shift)</w:t>
            </w:r>
          </w:p>
        </w:tc>
      </w:tr>
      <w:tr>
        <w:tc>
          <w:tcPr/>
          <w:p>
            <w:pPr>
              <w:pStyle w:val="Compact"/>
              <w:jc w:val="left"/>
            </w:pPr>
            <w:r>
              <w:t xml:space="preserve">Cohort reconciliation with OLIVES paper</w:t>
            </w:r>
          </w:p>
        </w:tc>
        <w:tc>
          <w:tcPr/>
          <w:p>
            <w:pPr>
              <w:pStyle w:val="Compact"/>
              <w:jc w:val="left"/>
            </w:pPr>
            <w:r>
              <w:t xml:space="preserve">Confirmed (96 patients exact match)</w:t>
            </w:r>
          </w:p>
        </w:tc>
      </w:tr>
      <w:tr>
        <w:tc>
          <w:tcPr/>
          <w:p>
            <w:pPr>
              <w:pStyle w:val="Compact"/>
              <w:jc w:val="left"/>
            </w:pPr>
            <w:r>
              <w:t xml:space="preserve">Bug fix #1 — Clinical xlsx column name</w:t>
            </w:r>
          </w:p>
        </w:tc>
        <w:tc>
          <w:tcPr/>
          <w:p>
            <w:pPr>
              <w:pStyle w:val="Compact"/>
              <w:jc w:val="left"/>
            </w:pPr>
            <w:r>
              <w:t xml:space="preserve">Fixed (</w:t>
            </w:r>
            <w:r>
              <w:rPr>
                <w:rStyle w:val="VerbatimChar"/>
              </w:rPr>
              <w:t xml:space="preserve">File_Path</w:t>
            </w:r>
            <w:r>
              <w:t xml:space="preserve">, not biomarker CSV path)</w:t>
            </w:r>
          </w:p>
        </w:tc>
      </w:tr>
      <w:tr>
        <w:tc>
          <w:tcPr/>
          <w:p>
            <w:pPr>
              <w:pStyle w:val="Compact"/>
              <w:jc w:val="left"/>
            </w:pPr>
            <w:r>
              <w:t xml:space="preserve">Bug fix #2 — Biomarker dedup</w:t>
            </w:r>
          </w:p>
        </w:tc>
        <w:tc>
          <w:tcPr/>
          <w:p>
            <w:pPr>
              <w:pStyle w:val="Compact"/>
              <w:jc w:val="left"/>
            </w:pPr>
            <w:r>
              <w:t xml:space="preserve">Fixed (max-aggregation across OCT scans)</w:t>
            </w:r>
          </w:p>
        </w:tc>
      </w:tr>
      <w:tr>
        <w:tc>
          <w:tcPr/>
          <w:p>
            <w:pPr>
              <w:pStyle w:val="Compact"/>
              <w:jc w:val="left"/>
            </w:pPr>
            <w:r>
              <w:t xml:space="preserve">Bug fix #3 — Prime_FULL .tif/.png duplication</w:t>
            </w:r>
          </w:p>
        </w:tc>
        <w:tc>
          <w:tcPr/>
          <w:p>
            <w:pPr>
              <w:pStyle w:val="Compact"/>
              <w:jc w:val="left"/>
            </w:pPr>
            <w:r>
              <w:t xml:space="preserve">Fixed (</w:t>
            </w:r>
            <w:r>
              <w:rPr>
                <w:rStyle w:val="VerbatimChar"/>
              </w:rPr>
              <w:t xml:space="preserve">.tif</w:t>
            </w:r>
            <w:r>
              <w:t xml:space="preserve"> </w:t>
            </w:r>
            <w:r>
              <w:t xml:space="preserve">preferred over</w:t>
            </w:r>
            <w:r>
              <w:t xml:space="preserve"> </w:t>
            </w:r>
            <w:r>
              <w:rPr>
                <w:rStyle w:val="VerbatimChar"/>
              </w:rPr>
              <w:t xml:space="preserve">.png</w:t>
            </w:r>
            <w:r>
              <w:t xml:space="preserve">)</w:t>
            </w:r>
          </w:p>
        </w:tc>
      </w:tr>
      <w:tr>
        <w:tc>
          <w:tcPr/>
          <w:p>
            <w:pPr>
              <w:pStyle w:val="Compact"/>
              <w:jc w:val="left"/>
            </w:pPr>
            <w:r>
              <w:t xml:space="preserve">Repository</w:t>
            </w:r>
          </w:p>
        </w:tc>
        <w:tc>
          <w:tcPr/>
          <w:p>
            <w:pPr>
              <w:pStyle w:val="Compact"/>
              <w:jc w:val="left"/>
            </w:pPr>
            <w:r>
              <w:rPr>
                <w:rStyle w:val="VerbatimChar"/>
              </w:rPr>
              <w:t xml:space="preserve">dr-dissertation</w:t>
            </w:r>
            <w:r>
              <w:t xml:space="preserve"> </w:t>
            </w:r>
            <w:r>
              <w:t xml:space="preserve">on GitHub, cloned to</w:t>
            </w:r>
            <w:r>
              <w:t xml:space="preserve"> </w:t>
            </w:r>
            <w:r>
              <w:rPr>
                <w:rStyle w:val="VerbatimChar"/>
              </w:rPr>
              <w:t xml:space="preserve">/content/dr-dissertation</w:t>
            </w:r>
          </w:p>
        </w:tc>
      </w:tr>
      <w:tr>
        <w:tc>
          <w:tcPr/>
          <w:p>
            <w:pPr>
              <w:pStyle w:val="Compact"/>
              <w:jc w:val="left"/>
            </w:pPr>
            <w:r>
              <w:t xml:space="preserve">Output dataset (OLIVES)</w:t>
            </w:r>
          </w:p>
        </w:tc>
        <w:tc>
          <w:tcPr/>
          <w:p>
            <w:pPr>
              <w:pStyle w:val="Compact"/>
              <w:jc w:val="left"/>
            </w:pPr>
            <w:r>
              <w:rPr>
                <w:rStyle w:val="VerbatimChar"/>
              </w:rPr>
              <w:t xml:space="preserve">/content/drive/MyDrive/dissertation/preprocessed/olives/olives_fundus.pt</w:t>
            </w:r>
            <w:r>
              <w:t xml:space="preserve"> </w:t>
            </w:r>
            <w:r>
              <w:t xml:space="preserve">(1.8 GB)</w:t>
            </w:r>
          </w:p>
        </w:tc>
      </w:tr>
      <w:tr>
        <w:tc>
          <w:tcPr/>
          <w:p>
            <w:pPr>
              <w:pStyle w:val="Compact"/>
              <w:jc w:val="left"/>
            </w:pPr>
            <w:r>
              <w:t xml:space="preserve">Output dataset (EyePACS)</w:t>
            </w:r>
          </w:p>
        </w:tc>
        <w:tc>
          <w:tcPr/>
          <w:p>
            <w:pPr>
              <w:pStyle w:val="Compact"/>
              <w:jc w:val="left"/>
            </w:pPr>
            <w:r>
              <w:rPr>
                <w:rStyle w:val="VerbatimChar"/>
              </w:rPr>
              <w:t xml:space="preserve">/content/drive/MyDrive/dissertation/preprocessed/eyepacs/eyepacs_shard_*.pt</w:t>
            </w:r>
            <w:r>
              <w:t xml:space="preserve"> </w:t>
            </w:r>
            <w:r>
              <w:t xml:space="preserve">(~22 GB)</w:t>
            </w:r>
          </w:p>
        </w:tc>
      </w:tr>
    </w:tbl>
    <w:p>
      <w:r>
        <w:pict>
          <v:rect style="width:0;height:1.5pt" o:hralign="center" o:hrstd="t" o:hr="t"/>
        </w:pict>
      </w:r>
    </w:p>
    <w:bookmarkEnd w:id="52"/>
    <w:bookmarkStart w:id="59" w:name="open-methodological-questions"/>
    <w:p>
      <w:pPr>
        <w:pStyle w:val="Heading2"/>
      </w:pPr>
      <w:r>
        <w:t xml:space="preserve">9. Open methodological questions</w:t>
      </w:r>
    </w:p>
    <w:p>
      <w:pPr>
        <w:pStyle w:val="FirstParagraph"/>
      </w:pPr>
      <w:r>
        <w:t xml:space="preserve">These are the methodological decisions to resolve before further code is written. Each question is grounded in concrete preprocessing evidence rather than abstract architectural choice.</w:t>
      </w:r>
    </w:p>
    <w:bookmarkStart w:id="53" w:name="q1.-classifier-head-target-on-olives"/>
    <w:p>
      <w:pPr>
        <w:pStyle w:val="Heading3"/>
      </w:pPr>
      <w:r>
        <w:t xml:space="preserve">Q1. Classifier head target on OLIVES</w:t>
      </w:r>
    </w:p>
    <w:p>
      <w:pPr>
        <w:pStyle w:val="FirstParagraph"/>
      </w:pPr>
      <w:r>
        <w:rPr>
          <w:bCs/>
          <w:b/>
        </w:rPr>
        <w:t xml:space="preserve">Context</w:t>
      </w:r>
      <w:r>
        <w:t xml:space="preserve">: OLIVES does not provide per-image DR severity grades (Section 4.3). The original dual-head plan (softmax DR severity classifier + FCN regressor) needs reformulation. After preprocessing, 9 biomarker columns have ≥3 positives in the 192 tier-2 samples, with 4 having strong fundus correlates and clinical relevance: DRT/ME, IRF, IR hemorrhages, SRF.</w:t>
      </w:r>
    </w:p>
    <w:p>
      <w:pPr>
        <w:pStyle w:val="BodyText"/>
      </w:pPr>
      <w:r>
        <w:rPr>
          <w:bCs/>
          <w:b/>
        </w:rPr>
        <w:t xml:space="preserve">Options</w:t>
      </w:r>
      <w:r>
        <w:t xml:space="preserve">:</w:t>
      </w:r>
    </w:p>
    <w:p>
      <w:pPr>
        <w:numPr>
          <w:ilvl w:val="0"/>
          <w:numId w:val="1004"/>
        </w:numPr>
        <w:pStyle w:val="Compact"/>
      </w:pPr>
      <w:r>
        <w:rPr>
          <w:bCs/>
          <w:b/>
        </w:rPr>
        <w:t xml:space="preserve">Option A — Clinically-focused 4-biomarker head</w:t>
      </w:r>
      <w:r>
        <w:t xml:space="preserve">: train BCE multi-label classifier on DRT/ME (114), IRF (174), IR hemorrhages (67), SRF (29). All four have strong fundus correlates and clinical relevance. Smallest label space, cleanest narrative.</w:t>
      </w:r>
    </w:p>
    <w:p>
      <w:pPr>
        <w:numPr>
          <w:ilvl w:val="0"/>
          <w:numId w:val="1004"/>
        </w:numPr>
        <w:pStyle w:val="Compact"/>
      </w:pPr>
      <w:r>
        <w:rPr>
          <w:bCs/>
          <w:b/>
        </w:rPr>
        <w:t xml:space="preserve">Option B — Pragmatic 9-biomarker head</w:t>
      </w:r>
      <w:r>
        <w:t xml:space="preserve">: train on all 9 biomarkers with ≥3 positives (excluding saturated IR HRF). Larger label space, includes some OCT-derived biomarkers the fundus model can only weakly predict.</w:t>
      </w:r>
    </w:p>
    <w:p>
      <w:pPr>
        <w:numPr>
          <w:ilvl w:val="0"/>
          <w:numId w:val="1004"/>
        </w:numPr>
        <w:pStyle w:val="Compact"/>
      </w:pPr>
      <w:r>
        <w:rPr>
          <w:bCs/>
          <w:b/>
        </w:rPr>
        <w:t xml:space="preserve">Option C — Two-head split</w:t>
      </w:r>
      <w:r>
        <w:t xml:space="preserve">: primary head on the 4 fundus-grounded biomarkers, auxiliary head on the 5 OCT-correlated biomarkers at lower loss weight, framed as cross-modal correlation supervision.</w:t>
      </w:r>
    </w:p>
    <w:p>
      <w:pPr>
        <w:pStyle w:val="FirstParagraph"/>
      </w:pPr>
      <w:r>
        <w:rPr>
          <w:bCs/>
          <w:b/>
        </w:rPr>
        <w:t xml:space="preserve">Recommendation</w:t>
      </w:r>
      <w:r>
        <w:t xml:space="preserve">: Option A is the cleanest dissertation story and avoids training on biomarkers the fundus model fundamentally cannot predict. Option C is the most elegant fit for the</w:t>
      </w:r>
      <w:r>
        <w:t xml:space="preserve"> </w:t>
      </w:r>
      <w:r>
        <w:t xml:space="preserve">“</w:t>
      </w:r>
      <w:r>
        <w:t xml:space="preserve">cross-modality knowledge transfer</w:t>
      </w:r>
      <w:r>
        <w:t xml:space="preserve">”</w:t>
      </w:r>
      <w:r>
        <w:t xml:space="preserve"> </w:t>
      </w:r>
      <w:r>
        <w:t xml:space="preserve">framing but adds a head requiring justification.</w:t>
      </w:r>
    </w:p>
    <w:bookmarkEnd w:id="53"/>
    <w:bookmarkStart w:id="54" w:name="q2.-dr-severity-classification-target"/>
    <w:p>
      <w:pPr>
        <w:pStyle w:val="Heading3"/>
      </w:pPr>
      <w:r>
        <w:t xml:space="preserve">Q2. DR severity classification target</w:t>
      </w:r>
    </w:p>
    <w:p>
      <w:pPr>
        <w:pStyle w:val="FirstParagraph"/>
      </w:pPr>
      <w:r>
        <w:rPr>
          <w:bCs/>
          <w:b/>
        </w:rPr>
        <w:t xml:space="preserve">Context</w:t>
      </w:r>
      <w:r>
        <w:t xml:space="preserve">: With OLIVES DR severity unavailable, the 5-class DR classifier head must train on EyePACS only. The shared encoder then transfers learned DR features to OLIVES via cross-dataset contrastive alignment.</w:t>
      </w:r>
    </w:p>
    <w:p>
      <w:pPr>
        <w:pStyle w:val="BodyText"/>
      </w:pPr>
      <w:r>
        <w:rPr>
          <w:bCs/>
          <w:b/>
        </w:rPr>
        <w:t xml:space="preserve">Decision</w:t>
      </w:r>
      <w:r>
        <w:t xml:space="preserve">: EyePACS-only DR classification is the proposed approach, with the encoder’s DR features inherited by the OLIVES branch through cross-modal alignment rather than direct supervision.</w:t>
      </w:r>
    </w:p>
    <w:bookmarkEnd w:id="54"/>
    <w:bookmarkStart w:id="55" w:name="Xc9abe8ba86a32733f73b56879b8161a0f9042dd"/>
    <w:p>
      <w:pPr>
        <w:pStyle w:val="Heading3"/>
      </w:pPr>
      <w:r>
        <w:t xml:space="preserve">Q3. Pre-encoder preprocessing for domain shift</w:t>
      </w:r>
    </w:p>
    <w:p>
      <w:pPr>
        <w:pStyle w:val="FirstParagraph"/>
      </w:pPr>
      <w:r>
        <w:rPr>
          <w:bCs/>
          <w:b/>
        </w:rPr>
        <w:t xml:space="preserve">Context</w:t>
      </w:r>
      <w:r>
        <w:t xml:space="preserve">: Documented domain shift between EyePACS and OLIVES driven by field-stop geometry (20% vs 5% black pixels, mean shift of ~0.7 in normalised pixel space — Section 7.2).</w:t>
      </w:r>
    </w:p>
    <w:p>
      <w:pPr>
        <w:pStyle w:val="BodyText"/>
      </w:pPr>
      <w:r>
        <w:rPr>
          <w:bCs/>
          <w:b/>
        </w:rPr>
        <w:t xml:space="preserve">Options</w:t>
      </w:r>
      <w:r>
        <w:t xml:space="preserve">:</w:t>
      </w:r>
    </w:p>
    <w:p>
      <w:pPr>
        <w:numPr>
          <w:ilvl w:val="0"/>
          <w:numId w:val="1005"/>
        </w:numPr>
        <w:pStyle w:val="Compact"/>
      </w:pPr>
      <w:r>
        <w:t xml:space="preserve">Rely entirely on the shared encoder’s contrastive alignment to bridge the shift (no extra preprocessing).</w:t>
      </w:r>
    </w:p>
    <w:p>
      <w:pPr>
        <w:numPr>
          <w:ilvl w:val="0"/>
          <w:numId w:val="1005"/>
        </w:numPr>
        <w:pStyle w:val="Compact"/>
      </w:pPr>
      <w:r>
        <w:t xml:space="preserve">Add</w:t>
      </w:r>
      <w:r>
        <w:t xml:space="preserve"> </w:t>
      </w:r>
      <w:r>
        <w:rPr>
          <w:bCs/>
          <w:b/>
        </w:rPr>
        <w:t xml:space="preserve">field-stop crop</w:t>
      </w:r>
      <w:r>
        <w:t xml:space="preserve"> </w:t>
      </w:r>
      <w:r>
        <w:t xml:space="preserve">(detect circular fundus region, crop tight to it before resize) — standard in fundus literature.</w:t>
      </w:r>
    </w:p>
    <w:p>
      <w:pPr>
        <w:numPr>
          <w:ilvl w:val="0"/>
          <w:numId w:val="1005"/>
        </w:numPr>
        <w:pStyle w:val="Compact"/>
      </w:pPr>
      <w:r>
        <w:t xml:space="preserve">Add</w:t>
      </w:r>
      <w:r>
        <w:t xml:space="preserve"> </w:t>
      </w:r>
      <w:r>
        <w:rPr>
          <w:bCs/>
          <w:b/>
        </w:rPr>
        <w:t xml:space="preserve">CLAHE / contrast normalisation</w:t>
      </w:r>
      <w:r>
        <w:t xml:space="preserve"> </w:t>
      </w:r>
      <w:r>
        <w:t xml:space="preserve">for cross-dataset harmonisation — used in several recent DR papers.</w:t>
      </w:r>
    </w:p>
    <w:p>
      <w:pPr>
        <w:pStyle w:val="FirstParagraph"/>
      </w:pPr>
      <w:r>
        <w:t xml:space="preserve">Each option is defensible. The choice depends on how much of the methodology should rest on architectural learning vs preprocessing harmonisation.</w:t>
      </w:r>
    </w:p>
    <w:bookmarkEnd w:id="55"/>
    <w:bookmarkStart w:id="56" w:name="X3369a0212c4019f4aa68db5d5ab31c3df240619"/>
    <w:p>
      <w:pPr>
        <w:pStyle w:val="Heading3"/>
      </w:pPr>
      <w:r>
        <w:t xml:space="preserve">Q4. Anomalous tier-2-only samples (2 samples)</w:t>
      </w:r>
    </w:p>
    <w:p>
      <w:pPr>
        <w:pStyle w:val="FirstParagraph"/>
      </w:pPr>
      <w:r>
        <w:t xml:space="preserve">Two fundus images have biomarker labels but no clinical labels (key exists in biomarker CSV but not in clinical xlsx).</w:t>
      </w:r>
    </w:p>
    <w:p>
      <w:pPr>
        <w:pStyle w:val="BodyText"/>
      </w:pPr>
      <w:r>
        <w:rPr>
          <w:bCs/>
          <w:b/>
        </w:rPr>
        <w:t xml:space="preserve">Proposed handling</w:t>
      </w:r>
      <w:r>
        <w:t xml:space="preserve">: these samples participate in biomarker classification loss (where</w:t>
      </w:r>
      <w:r>
        <w:t xml:space="preserve"> </w:t>
      </w:r>
      <w:r>
        <w:rPr>
          <w:rStyle w:val="VerbatimChar"/>
        </w:rPr>
        <w:t xml:space="preserve">has_biomarkers=True</w:t>
      </w:r>
      <w:r>
        <w:t xml:space="preserve">) but skip BCVA/CST regression loss (where</w:t>
      </w:r>
      <w:r>
        <w:t xml:space="preserve"> </w:t>
      </w:r>
      <w:r>
        <w:rPr>
          <w:rStyle w:val="VerbatimChar"/>
        </w:rPr>
        <w:t xml:space="preserve">~has_clinical</w:t>
      </w:r>
      <w:r>
        <w:t xml:space="preserve">). This is automatic given the mask-based loss formulation.</w:t>
      </w:r>
    </w:p>
    <w:bookmarkEnd w:id="56"/>
    <w:bookmarkStart w:id="57" w:name="X3b691a0596120a74ea7c4ba3b07ee462fee8379"/>
    <w:p>
      <w:pPr>
        <w:pStyle w:val="Heading3"/>
      </w:pPr>
      <w:r>
        <w:t xml:space="preserve">Q5. Patient-aware train/val/test split ratio</w:t>
      </w:r>
    </w:p>
    <w:p>
      <w:pPr>
        <w:pStyle w:val="FirstParagraph"/>
      </w:pPr>
      <w:r>
        <w:rPr>
          <w:bCs/>
          <w:b/>
        </w:rPr>
        <w:t xml:space="preserve">Context</w:t>
      </w:r>
      <w:r>
        <w:t xml:space="preserve">: 96 unique patients across both trials (56 TREX DME + 40 Prime_FULL). Standard 70/20/10 split would give roughly 67/19/10 patients, with downstream sample counts proportional to ~204 patient-eyes × 15.4 visits per eye.</w:t>
      </w:r>
    </w:p>
    <w:p>
      <w:pPr>
        <w:pStyle w:val="BodyText"/>
      </w:pPr>
      <w:r>
        <w:rPr>
          <w:bCs/>
          <w:b/>
        </w:rPr>
        <w:t xml:space="preserve">Decision</w:t>
      </w:r>
      <w:r>
        <w:t xml:space="preserve">: Choose split ratio. Given the small cohort (96 patients), there’s a defensible argument for 80/10/10, 70/15/15, or 70/20/10. Splits MUST be at the patient level (not visit-eye or sample) to prevent leakage of the same eye’s trajectory across train/val/test.</w:t>
      </w:r>
    </w:p>
    <w:bookmarkEnd w:id="57"/>
    <w:bookmarkStart w:id="58" w:name="Xa6beb08687a2122c63a51eefff0b5255468eaaa"/>
    <w:p>
      <w:pPr>
        <w:pStyle w:val="Heading3"/>
      </w:pPr>
      <w:r>
        <w:t xml:space="preserve">Q6. Methodological framing of preprocessing bug fixes</w:t>
      </w:r>
    </w:p>
    <w:p>
      <w:pPr>
        <w:pStyle w:val="FirstParagraph"/>
      </w:pPr>
      <w:r>
        <w:rPr>
          <w:bCs/>
          <w:b/>
        </w:rPr>
        <w:t xml:space="preserve">Context</w:t>
      </w:r>
      <w:r>
        <w:t xml:space="preserve">: The shift from</w:t>
      </w:r>
      <w:r>
        <w:t xml:space="preserve"> </w:t>
      </w:r>
      <w:r>
        <w:rPr>
          <w:rStyle w:val="VerbatimChar"/>
        </w:rPr>
        <w:t xml:space="preserve">drop_duplicates(keep='first')</w:t>
      </w:r>
      <w:r>
        <w:t xml:space="preserve"> </w:t>
      </w:r>
      <w:r>
        <w:t xml:space="preserve">to</w:t>
      </w:r>
      <w:r>
        <w:t xml:space="preserve"> </w:t>
      </w:r>
      <w:r>
        <w:rPr>
          <w:rStyle w:val="VerbatimChar"/>
        </w:rPr>
        <w:t xml:space="preserve">groupby().max()</w:t>
      </w:r>
      <w:r>
        <w:t xml:space="preserve"> </w:t>
      </w:r>
      <w:r>
        <w:t xml:space="preserve">aggregation across OCT scans is a methodologically meaningful</w:t>
      </w:r>
      <w:r>
        <w:t xml:space="preserve"> </w:t>
      </w:r>
      <w:r>
        <w:t xml:space="preserve">“</w:t>
      </w:r>
      <w:r>
        <w:t xml:space="preserve">any-positive</w:t>
      </w:r>
      <w:r>
        <w:t xml:space="preserve">”</w:t>
      </w:r>
      <w:r>
        <w:t xml:space="preserve"> </w:t>
      </w:r>
      <w:r>
        <w:t xml:space="preserve">decision rule for visit-eye level biomarker assignment. The</w:t>
      </w:r>
      <w:r>
        <w:t xml:space="preserve"> </w:t>
      </w:r>
      <w:r>
        <w:rPr>
          <w:rStyle w:val="VerbatimChar"/>
        </w:rPr>
        <w:t xml:space="preserve">.tif</w:t>
      </w:r>
      <w:r>
        <w:t xml:space="preserve">/</w:t>
      </w:r>
      <w:r>
        <w:rPr>
          <w:rStyle w:val="VerbatimChar"/>
        </w:rPr>
        <w:t xml:space="preserve">.png</w:t>
      </w:r>
      <w:r>
        <w:t xml:space="preserve"> </w:t>
      </w:r>
      <w:r>
        <w:t xml:space="preserve">dedup is similarly a meaningful design choice rather than routine cleanup.</w:t>
      </w:r>
    </w:p>
    <w:p>
      <w:pPr>
        <w:pStyle w:val="BodyText"/>
      </w:pPr>
      <w:r>
        <w:rPr>
          <w:bCs/>
          <w:b/>
        </w:rPr>
        <w:t xml:space="preserve">Note</w:t>
      </w:r>
      <w:r>
        <w:t xml:space="preserve">: Both of these design choices are worth mentioning in the dissertation methods chapter as deliberate, defensible methodological decisions (rather than glossing over them as routine preprocessing). They demonstrate preprocessing rigour and direct engagement with the OLIVES dataset’s annotation structure.</w:t>
      </w:r>
    </w:p>
    <w:p>
      <w:r>
        <w:pict>
          <v:rect style="width:0;height:1.5pt" o:hralign="center" o:hrstd="t" o:hr="t"/>
        </w:pict>
      </w:r>
    </w:p>
    <w:bookmarkEnd w:id="58"/>
    <w:bookmarkEnd w:id="59"/>
    <w:bookmarkStart w:id="60" w:name="X79aa7878bc1c840e37e3c4454258c6579ab1797"/>
    <w:p>
      <w:pPr>
        <w:pStyle w:val="Heading2"/>
      </w:pPr>
      <w:r>
        <w:t xml:space="preserve">10. Files modified during this development cycle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Change type</w:t>
            </w:r>
          </w:p>
        </w:tc>
        <w:tc>
          <w:tcPr/>
          <w:p>
            <w:pPr>
              <w:pStyle w:val="Compact"/>
              <w:jc w:val="left"/>
            </w:pPr>
            <w:r>
              <w:t xml:space="preserve">Notes</w:t>
            </w:r>
          </w:p>
        </w:tc>
      </w:tr>
      <w:tr>
        <w:tc>
          <w:tcPr/>
          <w:p>
            <w:pPr>
              <w:pStyle w:val="Compact"/>
              <w:jc w:val="left"/>
            </w:pPr>
            <w:r>
              <w:rPr>
                <w:rStyle w:val="VerbatimChar"/>
              </w:rPr>
              <w:t xml:space="preserve">src/data/preprocess.py</w:t>
            </w:r>
          </w:p>
        </w:tc>
        <w:tc>
          <w:tcPr/>
          <w:p>
            <w:pPr>
              <w:pStyle w:val="Compact"/>
              <w:jc w:val="left"/>
            </w:pPr>
            <w:r>
              <w:t xml:space="preserve">Major refactor</w:t>
            </w:r>
          </w:p>
        </w:tc>
        <w:tc>
          <w:tcPr/>
          <w:p>
            <w:pPr>
              <w:pStyle w:val="Compact"/>
              <w:jc w:val="left"/>
            </w:pPr>
            <w:r>
              <w:t xml:space="preserve">New three-tier matching logic, masks, dual lookups</w:t>
            </w:r>
          </w:p>
        </w:tc>
      </w:tr>
      <w:tr>
        <w:tc>
          <w:tcPr/>
          <w:p>
            <w:pPr>
              <w:pStyle w:val="Compact"/>
              <w:jc w:val="left"/>
            </w:pPr>
            <w:r>
              <w:rPr>
                <w:rStyle w:val="VerbatimChar"/>
              </w:rPr>
              <w:t xml:space="preserve">configs/preprocess.yaml</w:t>
            </w:r>
          </w:p>
        </w:tc>
        <w:tc>
          <w:tcPr/>
          <w:p>
            <w:pPr>
              <w:pStyle w:val="Compact"/>
              <w:jc w:val="left"/>
            </w:pPr>
            <w:r>
              <w:t xml:space="preserve">Added</w:t>
            </w:r>
            <w:r>
              <w:t xml:space="preserve"> </w:t>
            </w:r>
            <w:r>
              <w:rPr>
                <w:rStyle w:val="VerbatimChar"/>
              </w:rPr>
              <w:t xml:space="preserve">olives_clinical_xlsx</w:t>
            </w:r>
            <w:r>
              <w:t xml:space="preserve"> </w:t>
            </w:r>
            <w:r>
              <w:t xml:space="preserve">key</w:t>
            </w:r>
          </w:p>
        </w:tc>
        <w:tc>
          <w:tcPr/>
          <w:p>
            <w:pPr>
              <w:pStyle w:val="Compact"/>
              <w:jc w:val="left"/>
            </w:pPr>
            <w:r>
              <w:t xml:space="preserve">Required for OLIVES preprocessing</w:t>
            </w:r>
          </w:p>
        </w:tc>
      </w:tr>
      <w:tr>
        <w:tc>
          <w:tcPr/>
          <w:p>
            <w:pPr>
              <w:pStyle w:val="Compact"/>
              <w:jc w:val="left"/>
            </w:pPr>
            <w:r>
              <w:rPr>
                <w:rStyle w:val="VerbatimChar"/>
              </w:rPr>
              <w:t xml:space="preserve">src/data/preprocess.py</w:t>
            </w:r>
          </w:p>
        </w:tc>
        <w:tc>
          <w:tcPr/>
          <w:p>
            <w:pPr>
              <w:pStyle w:val="Compact"/>
              <w:jc w:val="left"/>
            </w:pPr>
            <w:r>
              <w:t xml:space="preserve">Bug fix #1</w:t>
            </w:r>
          </w:p>
        </w:tc>
        <w:tc>
          <w:tcPr/>
          <w:p>
            <w:pPr>
              <w:pStyle w:val="Compact"/>
              <w:jc w:val="left"/>
            </w:pPr>
            <w:r>
              <w:t xml:space="preserve">Added</w:t>
            </w:r>
            <w:r>
              <w:t xml:space="preserve"> </w:t>
            </w:r>
            <w:r>
              <w:rPr>
                <w:rStyle w:val="VerbatimChar"/>
              </w:rPr>
              <w:t xml:space="preserve">CLINICAL_PATH_COLUMN = "File_Path"</w:t>
            </w:r>
            <w:r>
              <w:t xml:space="preserve"> </w:t>
            </w:r>
            <w:r>
              <w:t xml:space="preserve">constant</w:t>
            </w:r>
          </w:p>
        </w:tc>
      </w:tr>
      <w:tr>
        <w:tc>
          <w:tcPr/>
          <w:p>
            <w:pPr>
              <w:pStyle w:val="Compact"/>
              <w:jc w:val="left"/>
            </w:pPr>
            <w:r>
              <w:rPr>
                <w:rStyle w:val="VerbatimChar"/>
              </w:rPr>
              <w:t xml:space="preserve">src/data/preprocess.py</w:t>
            </w:r>
          </w:p>
        </w:tc>
        <w:tc>
          <w:tcPr/>
          <w:p>
            <w:pPr>
              <w:pStyle w:val="Compact"/>
              <w:jc w:val="left"/>
            </w:pPr>
            <w:r>
              <w:t xml:space="preserve">Bug fix #2</w:t>
            </w:r>
          </w:p>
        </w:tc>
        <w:tc>
          <w:tcPr/>
          <w:p>
            <w:pPr>
              <w:pStyle w:val="Compact"/>
              <w:jc w:val="left"/>
            </w:pPr>
            <w:r>
              <w:t xml:space="preserve">Replaced first-row dedup with max-aggregation in</w:t>
            </w:r>
            <w:r>
              <w:t xml:space="preserve"> </w:t>
            </w:r>
            <w:r>
              <w:rPr>
                <w:rStyle w:val="VerbatimChar"/>
              </w:rPr>
              <w:t xml:space="preserve">_build_biomarker_lookup</w:t>
            </w:r>
          </w:p>
        </w:tc>
      </w:tr>
      <w:tr>
        <w:tc>
          <w:tcPr/>
          <w:p>
            <w:pPr>
              <w:pStyle w:val="Compact"/>
              <w:jc w:val="left"/>
            </w:pPr>
            <w:r>
              <w:rPr>
                <w:rStyle w:val="VerbatimChar"/>
              </w:rPr>
              <w:t xml:space="preserve">src/data/preprocess.py</w:t>
            </w:r>
          </w:p>
        </w:tc>
        <w:tc>
          <w:tcPr/>
          <w:p>
            <w:pPr>
              <w:pStyle w:val="Compact"/>
              <w:jc w:val="left"/>
            </w:pPr>
            <w:r>
              <w:t xml:space="preserve">Bug fix #3</w:t>
            </w:r>
          </w:p>
        </w:tc>
        <w:tc>
          <w:tcPr/>
          <w:p>
            <w:pPr>
              <w:pStyle w:val="Compact"/>
              <w:jc w:val="left"/>
            </w:pPr>
            <w:r>
              <w:t xml:space="preserve">Added</w:t>
            </w:r>
            <w:r>
              <w:t xml:space="preserve"> </w:t>
            </w:r>
            <w:r>
              <w:rPr>
                <w:rStyle w:val="VerbatimChar"/>
              </w:rPr>
              <w:t xml:space="preserve">.tif</w:t>
            </w:r>
            <w:r>
              <w:t xml:space="preserve">/</w:t>
            </w:r>
            <w:r>
              <w:rPr>
                <w:rStyle w:val="VerbatimChar"/>
              </w:rPr>
              <w:t xml:space="preserve">.png</w:t>
            </w:r>
            <w:r>
              <w:t xml:space="preserve"> </w:t>
            </w:r>
            <w:r>
              <w:t xml:space="preserve">dedup in stage 4 (walk scratch dir)</w:t>
            </w:r>
          </w:p>
        </w:tc>
      </w:tr>
      <w:tr>
        <w:tc>
          <w:tcPr/>
          <w:p>
            <w:pPr>
              <w:pStyle w:val="Compact"/>
              <w:jc w:val="left"/>
            </w:pPr>
            <w:r>
              <w:rPr>
                <w:rStyle w:val="VerbatimChar"/>
              </w:rPr>
              <w:t xml:space="preserve">docs/PREPROCESSING_DOCUMENTATION.md</w:t>
            </w:r>
          </w:p>
        </w:tc>
        <w:tc>
          <w:tcPr/>
          <w:p>
            <w:pPr>
              <w:pStyle w:val="Compact"/>
              <w:jc w:val="left"/>
            </w:pPr>
            <w:r>
              <w:t xml:space="preserve">New file</w:t>
            </w:r>
          </w:p>
        </w:tc>
        <w:tc>
          <w:tcPr/>
          <w:p>
            <w:pPr>
              <w:pStyle w:val="Compact"/>
              <w:jc w:val="left"/>
            </w:pPr>
            <w:r>
              <w:t xml:space="preserve">This document</w:t>
            </w:r>
          </w:p>
        </w:tc>
      </w:tr>
    </w:tbl>
    <w:p>
      <w:r>
        <w:pict>
          <v:rect style="width:0;height:1.5pt" o:hralign="center" o:hrstd="t" o:hr="t"/>
        </w:pict>
      </w:r>
    </w:p>
    <w:bookmarkEnd w:id="60"/>
    <w:bookmarkStart w:id="61" w:name="next-steps"/>
    <w:p>
      <w:pPr>
        <w:pStyle w:val="Heading2"/>
      </w:pPr>
      <w:r>
        <w:t xml:space="preserve">11. Next steps</w:t>
      </w:r>
    </w:p>
    <w:p>
      <w:pPr>
        <w:numPr>
          <w:ilvl w:val="0"/>
          <w:numId w:val="1006"/>
        </w:numPr>
        <w:pStyle w:val="Compact"/>
      </w:pPr>
      <w:r>
        <w:rPr>
          <w:bCs/>
          <w:b/>
        </w:rPr>
        <w:t xml:space="preserve">Resolve open methodological questions</w:t>
      </w:r>
      <w:r>
        <w:t xml:space="preserve"> </w:t>
      </w:r>
      <w:r>
        <w:t xml:space="preserve">in section 9.</w:t>
      </w:r>
    </w:p>
    <w:p>
      <w:pPr>
        <w:numPr>
          <w:ilvl w:val="0"/>
          <w:numId w:val="1006"/>
        </w:numPr>
        <w:pStyle w:val="Compact"/>
      </w:pPr>
      <w:r>
        <w:rPr>
          <w:bCs/>
          <w:b/>
        </w:rPr>
        <w:t xml:space="preserve">Update OLIVES dataset class</w:t>
      </w:r>
      <w:r>
        <w:t xml:space="preserve"> </w:t>
      </w:r>
      <w:r>
        <w:t xml:space="preserve">(</w:t>
      </w:r>
      <w:r>
        <w:rPr>
          <w:rStyle w:val="VerbatimChar"/>
        </w:rPr>
        <w:t xml:space="preserve">src/data/datasets.py</w:t>
      </w:r>
      <w:r>
        <w:t xml:space="preserve"> </w:t>
      </w:r>
      <w:r>
        <w:t xml:space="preserve">or equivalent) to consume the new schema with</w:t>
      </w:r>
      <w:r>
        <w:t xml:space="preserve"> </w:t>
      </w:r>
      <w:r>
        <w:rPr>
          <w:rStyle w:val="VerbatimChar"/>
        </w:rPr>
        <w:t xml:space="preserve">has_clinical</w:t>
      </w:r>
      <w:r>
        <w:t xml:space="preserve"> </w:t>
      </w:r>
      <w:r>
        <w:t xml:space="preserve">/</w:t>
      </w:r>
      <w:r>
        <w:t xml:space="preserve"> </w:t>
      </w:r>
      <w:r>
        <w:rPr>
          <w:rStyle w:val="VerbatimChar"/>
        </w:rPr>
        <w:t xml:space="preserve">has_biomarkers</w:t>
      </w:r>
      <w:r>
        <w:t xml:space="preserve"> </w:t>
      </w:r>
      <w:r>
        <w:t xml:space="preserve">masks.</w:t>
      </w:r>
    </w:p>
    <w:p>
      <w:pPr>
        <w:numPr>
          <w:ilvl w:val="0"/>
          <w:numId w:val="1006"/>
        </w:numPr>
        <w:pStyle w:val="Compact"/>
      </w:pPr>
      <w:r>
        <w:rPr>
          <w:bCs/>
          <w:b/>
        </w:rPr>
        <w:t xml:space="preserve">Update training loss functions</w:t>
      </w:r>
      <w:r>
        <w:t xml:space="preserve"> </w:t>
      </w:r>
      <w:r>
        <w:t xml:space="preserve">to mask BCE biomarker loss by</w:t>
      </w:r>
      <w:r>
        <w:t xml:space="preserve"> </w:t>
      </w:r>
      <w:r>
        <w:rPr>
          <w:rStyle w:val="VerbatimChar"/>
        </w:rPr>
        <w:t xml:space="preserve">has_biomarkers</w:t>
      </w:r>
      <w:r>
        <w:t xml:space="preserve">, MSE BCVA/CST loss by</w:t>
      </w:r>
      <w:r>
        <w:t xml:space="preserve"> </w:t>
      </w:r>
      <w:r>
        <w:rPr>
          <w:rStyle w:val="VerbatimChar"/>
        </w:rPr>
        <w:t xml:space="preserve">has_clinical &amp; ~isnan(bcva)</w:t>
      </w:r>
      <w:r>
        <w:t xml:space="preserve">.</w:t>
      </w:r>
    </w:p>
    <w:p>
      <w:pPr>
        <w:numPr>
          <w:ilvl w:val="0"/>
          <w:numId w:val="1006"/>
        </w:numPr>
        <w:pStyle w:val="Compact"/>
      </w:pPr>
      <w:r>
        <w:rPr>
          <w:bCs/>
          <w:b/>
        </w:rPr>
        <w:t xml:space="preserve">Implement t-SNE distribution check</w:t>
      </w:r>
      <w:r>
        <w:t xml:space="preserve"> </w:t>
      </w:r>
      <w:r>
        <w:t xml:space="preserve">(already identified as prerequisite) on encoder outputs from EyePACS and OLIVES samples to validate that contrastive alignment is doing its job.</w:t>
      </w:r>
    </w:p>
    <w:p>
      <w:pPr>
        <w:numPr>
          <w:ilvl w:val="0"/>
          <w:numId w:val="1006"/>
        </w:numPr>
        <w:pStyle w:val="Compact"/>
      </w:pPr>
      <w:r>
        <w:rPr>
          <w:bCs/>
          <w:b/>
        </w:rPr>
        <w:t xml:space="preserve">Write the cross-dataset contrastive head</w:t>
      </w:r>
      <w:r>
        <w:t xml:space="preserve"> </w:t>
      </w:r>
      <w:r>
        <w:t xml:space="preserve">with cosine similarity loss between EyePACS and OLIVES samples within batch.</w:t>
      </w:r>
    </w:p>
    <w:p>
      <w:pPr>
        <w:numPr>
          <w:ilvl w:val="0"/>
          <w:numId w:val="1006"/>
        </w:numPr>
        <w:pStyle w:val="Compact"/>
      </w:pPr>
      <w:r>
        <w:rPr>
          <w:bCs/>
          <w:b/>
        </w:rPr>
        <w:t xml:space="preserve">Begin longitudinal prognosis training</w:t>
      </w:r>
      <w:r>
        <w:t xml:space="preserve"> </w:t>
      </w:r>
      <w:r>
        <w:t xml:space="preserve">using the patient_ids and visit information from the saved tensor to construct per-patient trajectory sequences.</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2026-05-04T11:08:48Z</dcterms:created>
  <dcterms:modified xsi:type="dcterms:W3CDTF">2026-05-04T11:08:48Z</dcterms:modified>
</cp:coreProperties>
</file>

<file path=docProps/custom.xml><?xml version="1.0" encoding="utf-8"?>
<Properties xmlns="http://schemas.openxmlformats.org/officeDocument/2006/custom-properties" xmlns:vt="http://schemas.openxmlformats.org/officeDocument/2006/docPropsVTypes"/>
</file>