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POLÍTICAS DE SEGURIDAD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Código del conjunto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POL-SGSI-01 a POL-SGSI-15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POL-SGSI-05 — Política de gestión de parches y actualizaciones</w:t>
      </w:r>
    </w:p>
    <w:p>
      <w:pPr>
        <w:jc w:val="center"/>
      </w:pPr>
      <w:r>
        <w:rPr>
          <w:i/>
        </w:rPr>
        <w:t>Política de seguridad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requisitos para la identificación, priorización, prueba y aplicación de parches y actualizaciones de software en los sistemas de NovaRetail SpA, diferenciando el tratamiento de parches que requieren reinicio de servicio de los que no lo requieren, y definiendo los SLA por nivel de criticidad.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sistemas operativos (Windows Server, Linux), aplicaciones de negocio (ERP, portal e-commerce), bases de datos, firmware de dispositivos de red, antivirus y agentes de seguridad instalados en la infraestructura de NovaRetail (datacenter, bodega regional, endpoints corporativos y servicios en la nube M365/Workspace).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los SLA de parcheo, las ventanas de mantenimiento para sistemas críticos y las excepciones documentadas.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Monitorea las fuentes de parches, ejecuta el proceso y mantiene el registro de cumplimiento.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ERI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Prioriza parches según inteligencia de amenazas (CVEs activos) y valida que no haya regresiones de seguridad.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Jefaturas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Aprueban la ventana de mantenimiento para sus sistemas cuando implica corte de servicio.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Lineamientos de la política</w:t>
      </w:r>
    </w:p>
    <w:p>
      <w:pPr>
        <w:spacing w:before="140"/>
      </w:pPr>
      <w:r>
        <w:rPr>
          <w:b/>
          <w:color w:val="2E74B5"/>
          <w:sz w:val="22"/>
        </w:rPr>
        <w:t>5.1 SLA de aplicación de parches por criticidad</w:t>
      </w:r>
    </w:p>
    <w:p>
      <w:pPr>
        <w:spacing w:after="40"/>
      </w:pPr>
      <w:r>
        <w:rPr>
          <w:sz w:val="22"/>
        </w:rPr>
        <w:t>Todo parche disponible se clasifica y aplica dentro de los siguientes plazos, contados desde la publicación del boletín o la detección del CVE: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984"/>
        <w:gridCol w:w="3685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Criticidad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CVSS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Plazo máximo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Crítico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≥ 9.0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48 horas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Explotación activa conocida o zero-day confirmado en sistemas PCI/ERP/portal.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7.0–8.9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Vulnerabilidad con PoC público o activo de alto valor afectado.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4.0–6.9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30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Sin explotación activa confirmada.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Bajo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&lt; 4.0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90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Parche de mejora o hardening sin impacto de seguridad inmediato.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Zero-day activo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Cualquiera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72 horas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CVE con explotación activa confirmada, independientemente del CVSS.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5.2 Diferenciación por tipo de parche: con reinicio vs sin reinicio de servicio</w:t>
      </w:r>
    </w:p>
    <w:p>
      <w:pPr>
        <w:spacing w:after="40"/>
      </w:pPr>
      <w:r>
        <w:rPr>
          <w:sz w:val="22"/>
        </w:rPr>
        <w:t>El impacto operacional del parche determina el proceso de aplicación. Gerencia TI debe identificar, antes de aplicar cualquier parche, si este requiere o no reinicio del servicio o del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Parche SIN reinicio de servicio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Parche CON reinicio de servicio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Definición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El parche se aplica en caliente (hot-patch) sin interrumpir el servicio ni el sistema operativo.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El parche requiere reiniciar el servicio, el proceso o el sistema operativo completo para activarse.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Ejemplos típicos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Actualización de definiciones de antivirus, parches de librerías en caliente, configuraciones de seguridad, parches de aplicaciones con recarga dinámica.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Actualizaciones del kernel Linux, parches de Windows que requieren reboot, actualizaciones de Java/JRE en producción, firmware de dispositivos de red.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Ventana de mantenimiento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NO requerida. Se puede aplicar durante horario laboral con notificación de 1 hora a usuarios afectados.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OBLIGATORIA. Ventana preferida: martes o miércoles entre 23:00 y 02:00 h, o según acuerdo con jefatura.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Anticipación mínima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 hora de notificación a usuarios del sistema afectado.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48 horas para sistemas no críticos.</w:t>
              <w:br/>
              <w:t>72 horas para ERP, portal e-commerce y pasarela de pago.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Aprobación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Jefatura directa (para sistemas de producción).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Jefatura directa + CISO (para sistemas críticos: PCI, ERP, portal).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Ambiente de prueba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Prueba en sandbox mínimo 2 horas antes de producción.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Prueba en ambiente de pruebas con reinicio completo. Verificar servicios antes de ir a producción.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Plan de rollback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Snapshot previo recomendado.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Snapshot / backup diferencial OBLIGATORIO antes de iniciar la ventana (ver PROC-SGSI-03).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Frecuencia mínima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Cuando hay parches disponibles según SLA de sección 5.1.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Ventana mensual programada para parches medios y bajos. Los críticos/altos tienen ventana extraordinaria.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5.3 Proceso de verificación post-parcheo</w:t>
      </w:r>
    </w:p>
    <w:p>
      <w:pPr>
        <w:spacing w:after="40"/>
      </w:pPr>
      <w:r>
        <w:rPr>
          <w:sz w:val="22"/>
        </w:rPr>
        <w:t>• Ejecutar pruebas funcionales básicas sobre el sistema parcheado (checklist por tipo de sistema).</w:t>
      </w:r>
    </w:p>
    <w:p>
      <w:pPr>
        <w:spacing w:after="40"/>
      </w:pPr>
      <w:r>
        <w:rPr>
          <w:sz w:val="22"/>
        </w:rPr>
        <w:t>• Verificar que los agentes de monitoreo y antivirus siguen activos.</w:t>
      </w:r>
    </w:p>
    <w:p>
      <w:pPr>
        <w:spacing w:after="40"/>
      </w:pPr>
      <w:r>
        <w:rPr>
          <w:sz w:val="22"/>
        </w:rPr>
        <w:t>• Confirmar que los logs de auditoría se siguen generando correctamente.</w:t>
      </w:r>
    </w:p>
    <w:p>
      <w:pPr>
        <w:spacing w:after="40"/>
      </w:pPr>
      <w:r>
        <w:rPr>
          <w:sz w:val="22"/>
        </w:rPr>
        <w:t>• Para parches con reinicio: verificar que todos los servicios dependientes arrancaron correctamente.</w:t>
      </w:r>
    </w:p>
    <w:p>
      <w:pPr>
        <w:spacing w:after="40"/>
      </w:pPr>
      <w:r>
        <w:rPr>
          <w:sz w:val="22"/>
        </w:rPr>
        <w:t>• Registrar en el ticket ITSM: versión antes/después, resultado de pruebas y tiempo de reinicio (si aplica).</w:t>
      </w:r>
    </w:p>
    <w:p>
      <w:pPr>
        <w:spacing w:before="140"/>
      </w:pPr>
      <w:r>
        <w:rPr>
          <w:b/>
          <w:color w:val="2E74B5"/>
          <w:sz w:val="22"/>
        </w:rPr>
        <w:t>5.4 Excepciones y sistemas no parcheables</w:t>
      </w:r>
    </w:p>
    <w:p>
      <w:pPr>
        <w:spacing w:after="40"/>
      </w:pPr>
      <w:r>
        <w:rPr>
          <w:sz w:val="22"/>
        </w:rPr>
        <w:t>Si un sistema no puede parchearse dentro del SLA (dependencia de proveedor, incompatibilidad crítica), el CISO documenta la excepción con justificación técnica, controles compensatorios (segmentación, monitoreo reforzado) y fecha máxima de resolución. Las excepciones activas se revisan mensualmente.</w:t>
      </w:r>
    </w:p>
    <w:p>
      <w:pPr>
        <w:spacing w:before="200" w:after="80"/>
      </w:pPr>
      <w:r>
        <w:rPr>
          <w:b/>
          <w:color w:val="1F3864"/>
          <w:sz w:val="26"/>
        </w:rPr>
        <w:t>6. Incumplimientos</w:t>
      </w:r>
    </w:p>
    <w:p>
      <w:pPr>
        <w:spacing w:after="40"/>
      </w:pPr>
      <w:r>
        <w:rPr>
          <w:sz w:val="22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PROC-SGSI-01 — Procedimiento de gestión de actualizaciones y parches</w:t>
      </w:r>
    </w:p>
    <w:p>
      <w:pPr>
        <w:spacing w:after="40"/>
      </w:pPr>
      <w:r>
        <w:rPr>
          <w:sz w:val="22"/>
        </w:rPr>
        <w:t>• PROC-SGSI-03 — Procedimiento de rollback</w:t>
      </w:r>
    </w:p>
    <w:p>
      <w:pPr>
        <w:spacing w:after="40"/>
      </w:pPr>
      <w:r>
        <w:rPr>
          <w:sz w:val="22"/>
        </w:rPr>
        <w:t>• PROC-SGSI-04 — Procedimiento de línea base de software (Ansible)</w:t>
      </w:r>
    </w:p>
    <w:p>
      <w:pPr>
        <w:spacing w:after="40"/>
      </w:pPr>
      <w:r>
        <w:rPr>
          <w:sz w:val="22"/>
        </w:rPr>
        <w:t>• POL-SGSI-09 — Política de gestión de vulnerabilidades</w:t>
      </w:r>
    </w:p>
    <w:p>
      <w:pPr>
        <w:spacing w:after="40"/>
      </w:pPr>
      <w:r>
        <w:rPr>
          <w:sz w:val="22"/>
        </w:rPr>
        <w:t>• POL-SGSI-15 — Política de línea base de software</w:t>
      </w:r>
    </w:p>
    <w:p>
      <w:pPr>
        <w:spacing w:after="40"/>
      </w:pPr>
      <w:r>
        <w:rPr>
          <w:sz w:val="22"/>
        </w:rPr>
        <w:t>• SoA – controles 8.8, 8.19 (ISO/IEC 27001:2022)</w:t>
      </w:r>
    </w:p>
    <w:p>
      <w:pPr>
        <w:spacing w:after="40"/>
      </w:pPr>
      <w:r>
        <w:rPr>
          <w:sz w:val="22"/>
        </w:rPr>
        <w:t>• Matriz de riesgos (R-02, R-04, R-14, R-15)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Se añade sección 5.2 con diferenciación explícita parches con/sin reinicio, tiempos de anticipación, aprobaciones y frecuencia por tipo.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BF41B6-4F5A-4A37-B472-9F7AE8C8566A}"/>
</file>

<file path=customXml/itemProps3.xml><?xml version="1.0" encoding="utf-8"?>
<ds:datastoreItem xmlns:ds="http://schemas.openxmlformats.org/officeDocument/2006/customXml" ds:itemID="{6A8D927E-D931-476F-A23F-F72F912B2A86}"/>
</file>

<file path=customXml/itemProps4.xml><?xml version="1.0" encoding="utf-8"?>
<ds:datastoreItem xmlns:ds="http://schemas.openxmlformats.org/officeDocument/2006/customXml" ds:itemID="{7582E5BE-0071-4788-9C58-6B65003DEE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