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28"/>
        </w:rPr>
        <w:t>POLÍTICAS DE SEGURIDAD DEL SISTEMA DE GESTIÓN DE SEGURIDAD DE LA INFORMACIÓN</w:t>
      </w:r>
    </w:p>
    <w:p>
      <w:pPr>
        <w:jc w:val="center"/>
      </w:pPr>
      <w:r>
        <w:rPr>
          <w:b/>
        </w:rPr>
        <w:t>NovaRetail SpA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5669"/>
      </w:tblGrid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Actividad práctica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Gobernanza e Implementación de un SGSI</w:t>
            </w:r>
          </w:p>
        </w:tc>
      </w:tr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Asignatura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Gestión de la Ciberseguridad</w:t>
            </w:r>
          </w:p>
        </w:tc>
      </w:tr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Integrantes del grupo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Sergio Cubelli</w:t>
              <w:br/>
              <w:t>Savka Carvajal</w:t>
              <w:br/>
              <w:t>Joaquín Zambra</w:t>
              <w:br/>
              <w:t>Alejandro Tapia</w:t>
              <w:br/>
              <w:t>Filippo Moreno</w:t>
            </w:r>
          </w:p>
        </w:tc>
      </w:tr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Código del conjunto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POL-SGSI-01 a POL-SGSI-15</w:t>
            </w:r>
          </w:p>
        </w:tc>
      </w:tr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Fecha de emisión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22-04-2026</w:t>
            </w:r>
          </w:p>
        </w:tc>
      </w:tr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Versión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Estado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Aprobado</w:t>
            </w:r>
          </w:p>
        </w:tc>
      </w:tr>
      <w:tr>
        <w:tc>
          <w:tcPr>
            <w:tcW w:type="dxa" w:w="3402"/>
            <w:shd w:val="clear" w:color="auto" w:fill="BDD7EE"/>
          </w:tcPr>
          <w:p>
            <w:r>
              <w:rPr>
                <w:b/>
                <w:sz w:val="20"/>
              </w:rPr>
              <w:t>Clasificación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Interno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1F3864"/>
          <w:sz w:val="28"/>
        </w:rPr>
        <w:t>POL-SGSI-13 — Política de gestión de proveedores y terceros OIV</w:t>
      </w:r>
    </w:p>
    <w:p>
      <w:pPr>
        <w:jc w:val="center"/>
      </w:pPr>
      <w:r>
        <w:rPr>
          <w:i/>
        </w:rPr>
        <w:t>Política de seguridad del SGSI de NovaRetail SpA.</w:t>
      </w:r>
    </w:p>
    <w:p/>
    <w:p>
      <w:pPr>
        <w:spacing w:before="200" w:after="80"/>
      </w:pPr>
      <w:r>
        <w:rPr>
          <w:b/>
          <w:color w:val="1F3864"/>
          <w:sz w:val="26"/>
        </w:rPr>
        <w:t>1. Control documental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Código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POL-SGSI-13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Versión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Fecha de emisión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22-04-2026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Clasificación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Interno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Elaborado por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Equipo SGSI NovaRetail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Revisado por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CISO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Aprobado por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Gerencia General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b/>
                <w:sz w:val="20"/>
              </w:rPr>
              <w:t>Próxima revisión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22-04-2027</w:t>
            </w:r>
          </w:p>
        </w:tc>
      </w:tr>
    </w:tbl>
    <w:p>
      <w:pPr>
        <w:spacing w:before="200" w:after="80"/>
      </w:pPr>
      <w:r>
        <w:rPr>
          <w:b/>
          <w:color w:val="1F3864"/>
          <w:sz w:val="26"/>
        </w:rPr>
        <w:t>2. Objetivo</w:t>
      </w:r>
    </w:p>
    <w:p>
      <w:pPr>
        <w:spacing w:after="40"/>
      </w:pPr>
      <w:r>
        <w:rPr>
          <w:sz w:val="22"/>
        </w:rPr>
        <w:t>Establecer los requisitos de seguridad que deben cumplir los proveedores y terceros con acceso a sistemas, datos o infraestructura de NovaRetail SpA, con énfasis en los proveedores que califican como Operadores de Importancia Vital (OIV) bajo la Ley N° 21.663, garantizando que la cadena de suministro digital no represente un vector de riesgo para el SGSI.</w:t>
      </w:r>
    </w:p>
    <w:p>
      <w:pPr>
        <w:spacing w:before="200" w:after="80"/>
      </w:pPr>
      <w:r>
        <w:rPr>
          <w:b/>
          <w:color w:val="1F3864"/>
          <w:sz w:val="26"/>
        </w:rPr>
        <w:t>3. Alcance</w:t>
      </w:r>
    </w:p>
    <w:p>
      <w:pPr>
        <w:spacing w:after="40"/>
      </w:pPr>
      <w:r>
        <w:rPr>
          <w:sz w:val="22"/>
        </w:rPr>
        <w:t>Aplica a todos los proveedores, contratistas y terceros que: (a) accedan a sistemas o datos de NovaRetail SpA; (b) presten servicios críticos para la operación (proveedor logístico, pasarela de pago, proveedor de cloud, empresa de mantenimiento TI); o (c) procesen datos personales de clientes de NovaRetail en su nombre (encargados de tratamiento bajo Ley N° 19.628).</w:t>
      </w:r>
    </w:p>
    <w:p>
      <w:pPr>
        <w:spacing w:before="200" w:after="80"/>
      </w:pPr>
      <w:r>
        <w:rPr>
          <w:b/>
          <w:color w:val="1F3864"/>
          <w:sz w:val="26"/>
        </w:rPr>
        <w:t>4. Roles y responsabilidades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6236"/>
      </w:tblGrid>
      <w:tr>
        <w:tc>
          <w:tcPr>
            <w:tcW w:type="dxa" w:w="2835"/>
            <w:shd w:val="clear" w:color="auto" w:fill="BDD7EE"/>
          </w:tcPr>
          <w:p>
            <w:r>
              <w:rPr>
                <w:b/>
                <w:sz w:val="20"/>
              </w:rPr>
              <w:t>CISO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Define los requisitos de seguridad para proveedores. Aprueba el nivel de riesgo aceptable. Supervisa las auditorías.</w:t>
            </w:r>
          </w:p>
        </w:tc>
      </w:tr>
      <w:tr>
        <w:tc>
          <w:tcPr>
            <w:tcW w:type="dxa" w:w="2835"/>
            <w:shd w:val="clear" w:color="auto" w:fill="BDD7EE"/>
          </w:tcPr>
          <w:p>
            <w:r>
              <w:rPr>
                <w:b/>
                <w:sz w:val="20"/>
              </w:rPr>
              <w:t>Adquisiciones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Incorpora las cláusulas de seguridad en contratos. Gestiona el ciclo de vida de cada proveedor.</w:t>
            </w:r>
          </w:p>
        </w:tc>
      </w:tr>
      <w:tr>
        <w:tc>
          <w:tcPr>
            <w:tcW w:type="dxa" w:w="2835"/>
            <w:shd w:val="clear" w:color="auto" w:fill="BDD7EE"/>
          </w:tcPr>
          <w:p>
            <w:r>
              <w:rPr>
                <w:b/>
                <w:sz w:val="20"/>
              </w:rPr>
              <w:t>Legal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Redacta y revisa las cláusulas contractuales de seguridad, incluyendo las relativas a datos personales y OIV.</w:t>
            </w:r>
          </w:p>
        </w:tc>
      </w:tr>
      <w:tr>
        <w:tc>
          <w:tcPr>
            <w:tcW w:type="dxa" w:w="2835"/>
            <w:shd w:val="clear" w:color="auto" w:fill="BDD7EE"/>
          </w:tcPr>
          <w:p>
            <w:r>
              <w:rPr>
                <w:b/>
                <w:sz w:val="20"/>
              </w:rPr>
              <w:t>Gerencia TI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Gestiona los accesos técnicos de proveedores. Monitorea las actividades de terceros en los sistemas.</w:t>
            </w:r>
          </w:p>
        </w:tc>
      </w:tr>
      <w:tr>
        <w:tc>
          <w:tcPr>
            <w:tcW w:type="dxa" w:w="2835"/>
            <w:shd w:val="clear" w:color="auto" w:fill="BDD7EE"/>
          </w:tcPr>
          <w:p>
            <w:r>
              <w:rPr>
                <w:b/>
                <w:sz w:val="20"/>
              </w:rPr>
              <w:t>Gerencia General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Aprueba contratos con proveedores críticos (OIV, pasarela de pago, cloud).</w:t>
            </w:r>
          </w:p>
        </w:tc>
      </w:tr>
    </w:tbl>
    <w:p>
      <w:pPr>
        <w:spacing w:before="200" w:after="80"/>
      </w:pPr>
      <w:r>
        <w:rPr>
          <w:b/>
          <w:color w:val="1F3864"/>
          <w:sz w:val="26"/>
        </w:rPr>
        <w:t>5. Lineamientos de la política</w:t>
      </w:r>
    </w:p>
    <w:p>
      <w:pPr>
        <w:spacing w:before="140"/>
      </w:pPr>
      <w:r>
        <w:rPr>
          <w:b/>
          <w:sz w:val="22"/>
        </w:rPr>
        <w:t>5.1 Clasificación de proveedores por criticidad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3969"/>
        <w:gridCol w:w="3402"/>
      </w:tblGrid>
      <w:tr>
        <w:tc>
          <w:tcPr>
            <w:tcW w:type="dxa" w:w="1701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Nivel</w:t>
            </w:r>
          </w:p>
        </w:tc>
        <w:tc>
          <w:tcPr>
            <w:tcW w:type="dxa" w:w="3969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Criterios</w:t>
            </w:r>
          </w:p>
        </w:tc>
        <w:tc>
          <w:tcPr>
            <w:tcW w:type="dxa" w:w="3402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Controles requeridos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Crítico (OIV)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Acceso a sistemas PCI, BD de clientes, infraestructura de red; servicios cuya interrupción paraliza la operación de NovaRetail (proveedor logístico, pasarela de pago, proveedor cloud)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Due diligence completo + cláusulas OIV + auditoría anual + accesos monitoreados + SLA de seguridad + plan de contingencia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Alto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Acceso a datos confidenciales o sistemas internos no críticos; servicios de mantenimiento TI, soporte de ERP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Evaluación de seguridad + cláusulas estándar + revisión semestral + accesos con MFA y log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Estándar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Sin acceso a datos o sistemas de NovaRetail; proveedores de bienes físicos, servicios generales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Acuerdo de confidencialidad (NDA)</w:t>
            </w:r>
          </w:p>
        </w:tc>
      </w:tr>
    </w:tbl>
    <w:p>
      <w:pPr>
        <w:spacing w:before="140"/>
      </w:pPr>
      <w:r>
        <w:rPr>
          <w:b/>
          <w:sz w:val="22"/>
        </w:rPr>
        <w:t>5.2 Due diligence previo a la contratación</w:t>
      </w:r>
    </w:p>
    <w:p>
      <w:pPr>
        <w:spacing w:after="40"/>
      </w:pPr>
      <w:r>
        <w:rPr>
          <w:sz w:val="22"/>
        </w:rPr>
        <w:t>• Antes de contratar a un proveedor Crítico o Alto, el CISO realiza una evaluación de seguridad que incluye: cuestionario de seguridad, revisión de certificaciones (ISO 27001, SOC 2, PCI DSS según aplique) y análisis de su política de gestión de incidentes.</w:t>
      </w:r>
    </w:p>
    <w:p>
      <w:pPr>
        <w:spacing w:after="40"/>
      </w:pPr>
      <w:r>
        <w:rPr>
          <w:sz w:val="22"/>
        </w:rPr>
        <w:t>• Para proveedores OIV: se verifica que el proveedor cumple con la Ley N° 21.663 y que tiene obligaciones de notificación de incidentes hacia NovaRetail dentro de los plazos de la ley.</w:t>
      </w:r>
    </w:p>
    <w:p>
      <w:pPr>
        <w:spacing w:after="40"/>
      </w:pPr>
      <w:r>
        <w:rPr>
          <w:sz w:val="22"/>
        </w:rPr>
        <w:t>• El resultado del due diligence se documenta y archiva junto al contrato.</w:t>
      </w:r>
    </w:p>
    <w:p>
      <w:pPr>
        <w:spacing w:before="140"/>
      </w:pPr>
      <w:r>
        <w:rPr>
          <w:b/>
          <w:sz w:val="22"/>
        </w:rPr>
        <w:t>5.3 Requisitos contractuales de seguridad</w:t>
      </w:r>
    </w:p>
    <w:p>
      <w:pPr>
        <w:spacing w:after="40"/>
      </w:pPr>
      <w:r>
        <w:rPr>
          <w:sz w:val="22"/>
        </w:rPr>
        <w:t>Todo contrato con proveedores Críticos o Altos debe incluir cláusulas explícitas sobre:</w:t>
      </w:r>
    </w:p>
    <w:p>
      <w:pPr>
        <w:spacing w:after="40"/>
      </w:pPr>
      <w:r>
        <w:rPr>
          <w:sz w:val="22"/>
        </w:rPr>
        <w:t>• Obligación de notificar incidentes de seguridad que afecten datos o servicios de NovaRetail dentro de 3 horas (alineado con Ley 21.663).</w:t>
      </w:r>
    </w:p>
    <w:p>
      <w:pPr>
        <w:spacing w:after="40"/>
      </w:pPr>
      <w:r>
        <w:rPr>
          <w:sz w:val="22"/>
        </w:rPr>
        <w:t>• Derecho de NovaRetail a auditar las prácticas de seguridad del proveedor (con preaviso de 15 días hábiles).</w:t>
      </w:r>
    </w:p>
    <w:p>
      <w:pPr>
        <w:spacing w:after="40"/>
      </w:pPr>
      <w:r>
        <w:rPr>
          <w:sz w:val="22"/>
        </w:rPr>
        <w:t>• Prohibición de subcontratación de servicios con acceso a datos de NovaRetail sin aprobación previa.</w:t>
      </w:r>
    </w:p>
    <w:p>
      <w:pPr>
        <w:spacing w:after="40"/>
      </w:pPr>
      <w:r>
        <w:rPr>
          <w:sz w:val="22"/>
        </w:rPr>
        <w:t>• Obligaciones de cifrado para datos de NovaRetail que el proveedor almacene o transmita.</w:t>
      </w:r>
    </w:p>
    <w:p>
      <w:pPr>
        <w:spacing w:after="40"/>
      </w:pPr>
      <w:r>
        <w:rPr>
          <w:sz w:val="22"/>
        </w:rPr>
        <w:t>• Procedimiento de devolución o eliminación segura de datos de NovaRetail al término del contrato.</w:t>
      </w:r>
    </w:p>
    <w:p>
      <w:pPr>
        <w:spacing w:after="40"/>
      </w:pPr>
      <w:r>
        <w:rPr>
          <w:sz w:val="22"/>
        </w:rPr>
        <w:t>• Para proveedores que traten datos personales: cláusulas de encargado de tratamiento conforme a Ley N° 19.628.</w:t>
      </w:r>
    </w:p>
    <w:p>
      <w:pPr>
        <w:spacing w:after="40"/>
      </w:pPr>
      <w:r>
        <w:rPr>
          <w:sz w:val="22"/>
        </w:rPr>
        <w:t>• SLA de seguridad: tiempo máximo de respuesta ante incidentes que afecten servicios de NovaRetail.</w:t>
      </w:r>
    </w:p>
    <w:p>
      <w:pPr>
        <w:spacing w:before="140"/>
      </w:pPr>
      <w:r>
        <w:rPr>
          <w:b/>
          <w:sz w:val="22"/>
        </w:rPr>
        <w:t>5.4 Gestión de accesos de proveedores</w:t>
      </w:r>
    </w:p>
    <w:p>
      <w:pPr>
        <w:spacing w:after="40"/>
      </w:pPr>
      <w:r>
        <w:rPr>
          <w:sz w:val="22"/>
        </w:rPr>
        <w:t>• Los accesos de proveedores se otorgan siguiendo PROC-SGSI-06, con aprobación del CISO independientemente del nivel del proveedor.</w:t>
      </w:r>
    </w:p>
    <w:p>
      <w:pPr>
        <w:spacing w:after="40"/>
      </w:pPr>
      <w:r>
        <w:rPr>
          <w:sz w:val="22"/>
        </w:rPr>
        <w:t>• Los accesos de proveedores son nominales (nunca genéricos), limitados en tiempo y alcance, con MFA obligatorio.</w:t>
      </w:r>
    </w:p>
    <w:p>
      <w:pPr>
        <w:spacing w:after="40"/>
      </w:pPr>
      <w:r>
        <w:rPr>
          <w:sz w:val="22"/>
        </w:rPr>
        <w:t>• Los accesos de proveedores se activan bajo demanda y se desactivan al finalizar la tarea o sesión de trabajo, siempre que sea posible.</w:t>
      </w:r>
    </w:p>
    <w:p>
      <w:pPr>
        <w:spacing w:after="40"/>
      </w:pPr>
      <w:r>
        <w:rPr>
          <w:sz w:val="22"/>
        </w:rPr>
        <w:t>• Toda actividad de proveedores en sistemas de NovaRetail queda registrada en logs de auditoría.</w:t>
      </w:r>
    </w:p>
    <w:p>
      <w:pPr>
        <w:spacing w:after="40"/>
      </w:pPr>
      <w:r>
        <w:rPr>
          <w:sz w:val="22"/>
        </w:rPr>
        <w:t>• Los accesos de proveedores se revisan mensualmente por Gerencia TI y se presentan al CISO.</w:t>
      </w:r>
    </w:p>
    <w:p>
      <w:pPr>
        <w:spacing w:before="140"/>
      </w:pPr>
      <w:r>
        <w:rPr>
          <w:b/>
          <w:sz w:val="22"/>
        </w:rPr>
        <w:t>5.5 Seguimiento y auditoría de proveedores</w:t>
      </w:r>
    </w:p>
    <w:p>
      <w:pPr>
        <w:spacing w:after="40"/>
      </w:pPr>
      <w:r>
        <w:rPr>
          <w:sz w:val="22"/>
        </w:rPr>
        <w:t>• Los proveedores Críticos son auditados anualmente: el CISO revisa su postura de seguridad, incidentes del año y cumplimiento de SLAs.</w:t>
      </w:r>
    </w:p>
    <w:p>
      <w:pPr>
        <w:spacing w:after="40"/>
      </w:pPr>
      <w:r>
        <w:rPr>
          <w:sz w:val="22"/>
        </w:rPr>
        <w:t>• Los proveedores Altos son revisados semestralmente mediante cuestionario de seguridad actualizado.</w:t>
      </w:r>
    </w:p>
    <w:p>
      <w:pPr>
        <w:spacing w:after="40"/>
      </w:pPr>
      <w:r>
        <w:rPr>
          <w:sz w:val="22"/>
        </w:rPr>
        <w:t>• Si un proveedor sufre un incidente que potencialmente afecta datos de NovaRetail, el CISO activa el proceso de evaluación de impacto y notificación a ANCI si corresponde (POL-SGSI-11).</w:t>
      </w:r>
    </w:p>
    <w:p>
      <w:pPr>
        <w:spacing w:after="40"/>
      </w:pPr>
      <w:r>
        <w:rPr>
          <w:sz w:val="22"/>
        </w:rPr>
        <w:t>• Los proveedores que incumplan reiteradamente los requisitos de seguridad son descalificados o sujetos a controles compensatorios más estrictos.</w:t>
      </w:r>
    </w:p>
    <w:p>
      <w:pPr>
        <w:spacing w:before="140"/>
      </w:pPr>
      <w:r>
        <w:rPr>
          <w:b/>
          <w:sz w:val="22"/>
        </w:rPr>
        <w:t>5.6 Término del contrato con proveedores</w:t>
      </w:r>
    </w:p>
    <w:p>
      <w:pPr>
        <w:spacing w:after="40"/>
      </w:pPr>
      <w:r>
        <w:rPr>
          <w:sz w:val="22"/>
        </w:rPr>
        <w:t>• Al término del contrato, Gerencia TI revoca todos los accesos del proveedor dentro de las 4 horas de notificada la baja.</w:t>
      </w:r>
    </w:p>
    <w:p>
      <w:pPr>
        <w:spacing w:after="40"/>
      </w:pPr>
      <w:r>
        <w:rPr>
          <w:sz w:val="22"/>
        </w:rPr>
        <w:t>• Se exige al proveedor confirmación escrita de la eliminación de datos de NovaRetail en su poder (alineado con PROC-SGSI-12).</w:t>
      </w:r>
    </w:p>
    <w:p>
      <w:pPr>
        <w:spacing w:after="40"/>
      </w:pPr>
      <w:r>
        <w:rPr>
          <w:sz w:val="22"/>
        </w:rPr>
        <w:t>• Se archivan los registros de acceso del proveedor por 3 años.</w:t>
      </w:r>
    </w:p>
    <w:p>
      <w:pPr>
        <w:spacing w:before="200" w:after="80"/>
      </w:pPr>
      <w:r>
        <w:rPr>
          <w:b/>
          <w:color w:val="1F3864"/>
          <w:sz w:val="26"/>
        </w:rPr>
        <w:t>6. Incumplimientos</w:t>
      </w:r>
    </w:p>
    <w:p>
      <w:pPr>
        <w:spacing w:after="40"/>
      </w:pPr>
      <w:r>
        <w:rPr>
          <w:sz w:val="22"/>
        </w:rPr>
        <w:t>Todo incumplimiento a esta política deberá ser reportado al CISO y gestionado conforme al procedimiento interno de gestión de incidentes y al reglamento interno de NovaRetail SpA. Puede dar origen a medidas disciplinarias según la normativa laboral aplicable. El incumplimiento por parte de un proveedor puede derivar en acciones contractuales incluyendo resolución del contrato y exigencia de indemnización.</w:t>
      </w:r>
    </w:p>
    <w:p>
      <w:pPr>
        <w:spacing w:before="200" w:after="80"/>
      </w:pPr>
      <w:r>
        <w:rPr>
          <w:b/>
          <w:color w:val="1F3864"/>
          <w:sz w:val="26"/>
        </w:rPr>
        <w:t>7. Documentos relacionados</w:t>
      </w:r>
    </w:p>
    <w:p>
      <w:pPr>
        <w:spacing w:after="40"/>
      </w:pPr>
      <w:r>
        <w:rPr>
          <w:sz w:val="22"/>
        </w:rPr>
        <w:t>• POL-SGSI-01 — Política de control de acceso</w:t>
      </w:r>
    </w:p>
    <w:p>
      <w:pPr>
        <w:spacing w:after="40"/>
      </w:pPr>
      <w:r>
        <w:rPr>
          <w:sz w:val="22"/>
        </w:rPr>
        <w:t>• POL-SGSI-11 — Política de gestión de incidentes y reporte ANCI</w:t>
      </w:r>
    </w:p>
    <w:p>
      <w:pPr>
        <w:spacing w:after="40"/>
      </w:pPr>
      <w:r>
        <w:rPr>
          <w:sz w:val="22"/>
        </w:rPr>
        <w:t>• PROC-SGSI-06 — Alta, modificación y baja de accesos</w:t>
      </w:r>
    </w:p>
    <w:p>
      <w:pPr>
        <w:spacing w:after="40"/>
      </w:pPr>
      <w:r>
        <w:rPr>
          <w:sz w:val="22"/>
        </w:rPr>
        <w:t>• PROC-SGSI-12 — Retención y eliminación segura</w:t>
      </w:r>
    </w:p>
    <w:p>
      <w:pPr>
        <w:spacing w:after="40"/>
      </w:pPr>
      <w:r>
        <w:rPr>
          <w:sz w:val="22"/>
        </w:rPr>
        <w:t>• Ley N° 21.663 — Ley Marco de Ciberseguridad (Chile, 2024)</w:t>
      </w:r>
    </w:p>
    <w:p>
      <w:pPr>
        <w:spacing w:after="40"/>
      </w:pPr>
      <w:r>
        <w:rPr>
          <w:sz w:val="22"/>
        </w:rPr>
        <w:t>• Ley N° 19.628 — Protección de datos personales (Chile)</w:t>
      </w:r>
    </w:p>
    <w:p>
      <w:pPr>
        <w:spacing w:after="40"/>
      </w:pPr>
      <w:r>
        <w:rPr>
          <w:sz w:val="22"/>
        </w:rPr>
        <w:t>• SoA – controles 5.19, 5.20, 5.21, 5.22 (ISO/IEC 27001:2022)</w:t>
      </w:r>
    </w:p>
    <w:p>
      <w:pPr>
        <w:spacing w:after="40"/>
      </w:pPr>
      <w:r>
        <w:rPr>
          <w:sz w:val="22"/>
        </w:rPr>
        <w:t>• Matriz de riesgos (R-08)</w:t>
      </w:r>
    </w:p>
    <w:p>
      <w:pPr>
        <w:spacing w:before="200" w:after="80"/>
      </w:pPr>
      <w:r>
        <w:rPr>
          <w:b/>
          <w:color w:val="1F3864"/>
          <w:sz w:val="26"/>
        </w:rPr>
        <w:t>8. Control de cambios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BDD7EE"/>
          </w:tcPr>
          <w:p>
            <w:r>
              <w:rPr>
                <w:b/>
                <w:color w:val="000000"/>
                <w:sz w:val="20"/>
              </w:rPr>
              <w:t>Versión</w:t>
            </w:r>
          </w:p>
        </w:tc>
        <w:tc>
          <w:tcPr>
            <w:tcW w:type="dxa" w:w="2280"/>
            <w:shd w:val="clear" w:color="auto" w:fill="BDD7EE"/>
          </w:tcPr>
          <w:p>
            <w:r>
              <w:rPr>
                <w:b/>
                <w:color w:val="000000"/>
                <w:sz w:val="20"/>
              </w:rPr>
              <w:t>Fecha</w:t>
            </w:r>
          </w:p>
        </w:tc>
        <w:tc>
          <w:tcPr>
            <w:tcW w:type="dxa" w:w="2280"/>
            <w:shd w:val="clear" w:color="auto" w:fill="BDD7EE"/>
          </w:tcPr>
          <w:p>
            <w:r>
              <w:rPr>
                <w:b/>
                <w:color w:val="000000"/>
                <w:sz w:val="20"/>
              </w:rPr>
              <w:t>Descripción del cambio</w:t>
            </w:r>
          </w:p>
        </w:tc>
        <w:tc>
          <w:tcPr>
            <w:tcW w:type="dxa" w:w="2280"/>
            <w:shd w:val="clear" w:color="auto" w:fill="BDD7EE"/>
          </w:tcPr>
          <w:p>
            <w:r>
              <w:rPr>
                <w:b/>
                <w:color w:val="000000"/>
                <w:sz w:val="20"/>
              </w:rPr>
              <w:t>Responsable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22-04-2026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Emisión inicial del documento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Equipo SGSI NovaRetail</w:t>
            </w:r>
          </w:p>
        </w:tc>
      </w:tr>
    </w:tbl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157D06D9BF21845883178A07635BF0C" ma:contentTypeVersion="10" ma:contentTypeDescription="Crear nuevo documento." ma:contentTypeScope="" ma:versionID="575d623067b72151a8374f2b990c1272">
  <xsd:schema xmlns:xsd="http://www.w3.org/2001/XMLSchema" xmlns:xs="http://www.w3.org/2001/XMLSchema" xmlns:p="http://schemas.microsoft.com/office/2006/metadata/properties" xmlns:ns2="ba7224a4-a1e3-4c3e-badf-085058869b86" xmlns:ns3="4fc427ff-965a-4fb4-bd01-7c253ae8b03b" targetNamespace="http://schemas.microsoft.com/office/2006/metadata/properties" ma:root="true" ma:fieldsID="53e290cc238b21a49accbbf14491a7b2" ns2:_="" ns3:_="">
    <xsd:import namespace="ba7224a4-a1e3-4c3e-badf-085058869b86"/>
    <xsd:import namespace="4fc427ff-965a-4fb4-bd01-7c253ae8b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7224a4-a1e3-4c3e-badf-085058869b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e777c97-9e47-4338-8e8a-2390167a35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c427ff-965a-4fb4-bd01-7c253ae8b03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6247468-c4c7-4c67-a550-c3fa8442b9ab}" ma:internalName="TaxCatchAll" ma:showField="CatchAllData" ma:web="4fc427ff-965a-4fb4-bd01-7c253ae8b0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a7224a4-a1e3-4c3e-badf-085058869b86">
      <Terms xmlns="http://schemas.microsoft.com/office/infopath/2007/PartnerControls"/>
    </lcf76f155ced4ddcb4097134ff3c332f>
    <TaxCatchAll xmlns="4fc427ff-965a-4fb4-bd01-7c253ae8b03b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66DE0F9-07CF-4246-A516-18E8E8E5A094}"/>
</file>

<file path=customXml/itemProps3.xml><?xml version="1.0" encoding="utf-8"?>
<ds:datastoreItem xmlns:ds="http://schemas.openxmlformats.org/officeDocument/2006/customXml" ds:itemID="{C411E546-6A59-44BA-9837-3CF4FDD0515A}"/>
</file>

<file path=customXml/itemProps4.xml><?xml version="1.0" encoding="utf-8"?>
<ds:datastoreItem xmlns:ds="http://schemas.openxmlformats.org/officeDocument/2006/customXml" ds:itemID="{86995579-FD18-4918-857D-C4D1264811A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0x010100F157D06D9BF21845883178A07635BF0C</vt:lpwstr>
  </property>
</Properties>
</file>