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jpeg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3864"/>
          <w:sz w:val="28"/>
        </w:rPr>
        <w:t>POLÍTICAS DE SEGURIDAD DEL SISTEMA DE GESTIÓN DE SEGURIDAD DE LA INFORMACIÓN</w:t>
      </w:r>
    </w:p>
    <w:p>
      <w:pPr>
        <w:jc w:val="center"/>
      </w:pPr>
      <w:r>
        <w:rPr>
          <w:b/>
        </w:rPr>
        <w:t>NovaRetail SpA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2"/>
        <w:gridCol w:w="5669"/>
      </w:tblGrid>
      <w:tr>
        <w:tc>
          <w:tcPr>
            <w:tcW w:type="dxa" w:w="3402"/>
            <w:shd w:val="clear" w:color="auto" w:fill="BDD7EE"/>
          </w:tcPr>
          <w:p>
            <w:r>
              <w:rPr>
                <w:b/>
                <w:sz w:val="20"/>
              </w:rPr>
              <w:t>Actividad práctica</w:t>
            </w:r>
          </w:p>
        </w:tc>
        <w:tc>
          <w:tcPr>
            <w:tcW w:type="dxa" w:w="5669"/>
          </w:tcPr>
          <w:p>
            <w:r>
              <w:rPr>
                <w:sz w:val="20"/>
              </w:rPr>
              <w:t>Gobernanza e Implementación de un SGSI</w:t>
            </w:r>
          </w:p>
        </w:tc>
      </w:tr>
      <w:tr>
        <w:tc>
          <w:tcPr>
            <w:tcW w:type="dxa" w:w="3402"/>
            <w:shd w:val="clear" w:color="auto" w:fill="BDD7EE"/>
          </w:tcPr>
          <w:p>
            <w:r>
              <w:rPr>
                <w:b/>
                <w:sz w:val="20"/>
              </w:rPr>
              <w:t>Asignatura</w:t>
            </w:r>
          </w:p>
        </w:tc>
        <w:tc>
          <w:tcPr>
            <w:tcW w:type="dxa" w:w="5669"/>
          </w:tcPr>
          <w:p>
            <w:r>
              <w:rPr>
                <w:sz w:val="20"/>
              </w:rPr>
              <w:t>Gestión de la Ciberseguridad</w:t>
            </w:r>
          </w:p>
        </w:tc>
      </w:tr>
      <w:tr>
        <w:tc>
          <w:tcPr>
            <w:tcW w:type="dxa" w:w="3402"/>
            <w:shd w:val="clear" w:color="auto" w:fill="BDD7EE"/>
          </w:tcPr>
          <w:p>
            <w:r>
              <w:rPr>
                <w:b/>
                <w:sz w:val="20"/>
              </w:rPr>
              <w:t>Integrantes del grupo</w:t>
            </w:r>
          </w:p>
        </w:tc>
        <w:tc>
          <w:tcPr>
            <w:tcW w:type="dxa" w:w="5669"/>
          </w:tcPr>
          <w:p>
            <w:r>
              <w:rPr>
                <w:sz w:val="20"/>
              </w:rPr>
              <w:t>Sergio Cubelli</w:t>
              <w:br/>
              <w:t>Savka Carvajal</w:t>
              <w:br/>
              <w:t>Joaquín Zambra</w:t>
              <w:br/>
              <w:t>Alejandro Tapia</w:t>
              <w:br/>
              <w:t>Filippo Moreno</w:t>
            </w:r>
          </w:p>
        </w:tc>
      </w:tr>
      <w:tr>
        <w:tc>
          <w:tcPr>
            <w:tcW w:type="dxa" w:w="3402"/>
            <w:shd w:val="clear" w:color="auto" w:fill="BDD7EE"/>
          </w:tcPr>
          <w:p>
            <w:r>
              <w:rPr>
                <w:b/>
                <w:sz w:val="20"/>
              </w:rPr>
              <w:t>Código del conjunto</w:t>
            </w:r>
          </w:p>
        </w:tc>
        <w:tc>
          <w:tcPr>
            <w:tcW w:type="dxa" w:w="5669"/>
          </w:tcPr>
          <w:p>
            <w:r>
              <w:rPr>
                <w:sz w:val="20"/>
              </w:rPr>
              <w:t>POL-SGSI-01 a POL-SGSI-15</w:t>
            </w:r>
          </w:p>
        </w:tc>
      </w:tr>
      <w:tr>
        <w:tc>
          <w:tcPr>
            <w:tcW w:type="dxa" w:w="3402"/>
            <w:shd w:val="clear" w:color="auto" w:fill="BDD7EE"/>
          </w:tcPr>
          <w:p>
            <w:r>
              <w:rPr>
                <w:b/>
                <w:sz w:val="20"/>
              </w:rPr>
              <w:t>Fecha de emisión</w:t>
            </w:r>
          </w:p>
        </w:tc>
        <w:tc>
          <w:tcPr>
            <w:tcW w:type="dxa" w:w="5669"/>
          </w:tcPr>
          <w:p>
            <w:r>
              <w:rPr>
                <w:sz w:val="20"/>
              </w:rPr>
              <w:t>22-04-2026</w:t>
            </w:r>
          </w:p>
        </w:tc>
      </w:tr>
      <w:tr>
        <w:tc>
          <w:tcPr>
            <w:tcW w:type="dxa" w:w="3402"/>
            <w:shd w:val="clear" w:color="auto" w:fill="BDD7EE"/>
          </w:tcPr>
          <w:p>
            <w:r>
              <w:rPr>
                <w:b/>
                <w:sz w:val="20"/>
              </w:rPr>
              <w:t>Versión</w:t>
            </w:r>
          </w:p>
        </w:tc>
        <w:tc>
          <w:tcPr>
            <w:tcW w:type="dxa" w:w="5669"/>
          </w:tcPr>
          <w:p>
            <w:r>
              <w:rPr>
                <w:sz w:val="20"/>
              </w:rPr>
              <w:t>1.0</w:t>
            </w:r>
          </w:p>
        </w:tc>
      </w:tr>
      <w:tr>
        <w:tc>
          <w:tcPr>
            <w:tcW w:type="dxa" w:w="3402"/>
            <w:shd w:val="clear" w:color="auto" w:fill="BDD7EE"/>
          </w:tcPr>
          <w:p>
            <w:r>
              <w:rPr>
                <w:b/>
                <w:sz w:val="20"/>
              </w:rPr>
              <w:t>Estado</w:t>
            </w:r>
          </w:p>
        </w:tc>
        <w:tc>
          <w:tcPr>
            <w:tcW w:type="dxa" w:w="5669"/>
          </w:tcPr>
          <w:p>
            <w:r>
              <w:rPr>
                <w:sz w:val="20"/>
              </w:rPr>
              <w:t>Aprobado</w:t>
            </w:r>
          </w:p>
        </w:tc>
      </w:tr>
      <w:tr>
        <w:tc>
          <w:tcPr>
            <w:tcW w:type="dxa" w:w="3402"/>
            <w:shd w:val="clear" w:color="auto" w:fill="BDD7EE"/>
          </w:tcPr>
          <w:p>
            <w:r>
              <w:rPr>
                <w:b/>
                <w:sz w:val="20"/>
              </w:rPr>
              <w:t>Clasificación</w:t>
            </w:r>
          </w:p>
        </w:tc>
        <w:tc>
          <w:tcPr>
            <w:tcW w:type="dxa" w:w="5669"/>
          </w:tcPr>
          <w:p>
            <w:r>
              <w:rPr>
                <w:sz w:val="20"/>
              </w:rPr>
              <w:t>Interno</w:t>
            </w:r>
          </w:p>
        </w:tc>
      </w:tr>
    </w:tbl>
    <w:p>
      <w:r>
        <w:br w:type="page"/>
      </w:r>
    </w:p>
    <w:p>
      <w:pPr>
        <w:jc w:val="center"/>
      </w:pPr>
      <w:r>
        <w:rPr>
          <w:b/>
          <w:color w:val="1F3864"/>
          <w:sz w:val="28"/>
        </w:rPr>
        <w:t>POL-SGSI-14 — Política de contratación y desvinculación</w:t>
      </w:r>
    </w:p>
    <w:p>
      <w:pPr>
        <w:jc w:val="center"/>
      </w:pPr>
      <w:r>
        <w:rPr>
          <w:i/>
        </w:rPr>
        <w:t>Política de seguridad del SGSI de NovaRetail SpA.</w:t>
      </w:r>
    </w:p>
    <w:p/>
    <w:p>
      <w:pPr>
        <w:spacing w:before="200" w:after="80"/>
      </w:pPr>
      <w:r>
        <w:rPr>
          <w:b/>
          <w:color w:val="1F3864"/>
          <w:sz w:val="26"/>
        </w:rPr>
        <w:t>1. Control documental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4561"/>
            <w:shd w:val="clear" w:color="auto" w:fill="BDD7EE"/>
          </w:tcPr>
          <w:p>
            <w:r>
              <w:rPr>
                <w:b/>
                <w:sz w:val="20"/>
              </w:rPr>
              <w:t>Código</w:t>
            </w:r>
          </w:p>
        </w:tc>
        <w:tc>
          <w:tcPr>
            <w:tcW w:type="dxa" w:w="4561"/>
          </w:tcPr>
          <w:p>
            <w:r>
              <w:rPr>
                <w:sz w:val="20"/>
              </w:rPr>
              <w:t>POL-SGSI-14</w:t>
            </w:r>
          </w:p>
        </w:tc>
      </w:tr>
      <w:tr>
        <w:tc>
          <w:tcPr>
            <w:tcW w:type="dxa" w:w="4561"/>
            <w:shd w:val="clear" w:color="auto" w:fill="BDD7EE"/>
          </w:tcPr>
          <w:p>
            <w:r>
              <w:rPr>
                <w:b/>
                <w:sz w:val="20"/>
              </w:rPr>
              <w:t>Versión</w:t>
            </w:r>
          </w:p>
        </w:tc>
        <w:tc>
          <w:tcPr>
            <w:tcW w:type="dxa" w:w="4561"/>
          </w:tcPr>
          <w:p>
            <w:r>
              <w:rPr>
                <w:sz w:val="20"/>
              </w:rPr>
              <w:t>1.0</w:t>
            </w:r>
          </w:p>
        </w:tc>
      </w:tr>
      <w:tr>
        <w:tc>
          <w:tcPr>
            <w:tcW w:type="dxa" w:w="4561"/>
            <w:shd w:val="clear" w:color="auto" w:fill="BDD7EE"/>
          </w:tcPr>
          <w:p>
            <w:r>
              <w:rPr>
                <w:b/>
                <w:sz w:val="20"/>
              </w:rPr>
              <w:t>Fecha de emisión</w:t>
            </w:r>
          </w:p>
        </w:tc>
        <w:tc>
          <w:tcPr>
            <w:tcW w:type="dxa" w:w="4561"/>
          </w:tcPr>
          <w:p>
            <w:r>
              <w:rPr>
                <w:sz w:val="20"/>
              </w:rPr>
              <w:t>22-04-2026</w:t>
            </w:r>
          </w:p>
        </w:tc>
      </w:tr>
      <w:tr>
        <w:tc>
          <w:tcPr>
            <w:tcW w:type="dxa" w:w="4561"/>
            <w:shd w:val="clear" w:color="auto" w:fill="BDD7EE"/>
          </w:tcPr>
          <w:p>
            <w:r>
              <w:rPr>
                <w:b/>
                <w:sz w:val="20"/>
              </w:rPr>
              <w:t>Clasificación</w:t>
            </w:r>
          </w:p>
        </w:tc>
        <w:tc>
          <w:tcPr>
            <w:tcW w:type="dxa" w:w="4561"/>
          </w:tcPr>
          <w:p>
            <w:r>
              <w:rPr>
                <w:sz w:val="20"/>
              </w:rPr>
              <w:t>Interno</w:t>
            </w:r>
          </w:p>
        </w:tc>
      </w:tr>
      <w:tr>
        <w:tc>
          <w:tcPr>
            <w:tcW w:type="dxa" w:w="4561"/>
            <w:shd w:val="clear" w:color="auto" w:fill="BDD7EE"/>
          </w:tcPr>
          <w:p>
            <w:r>
              <w:rPr>
                <w:b/>
                <w:sz w:val="20"/>
              </w:rPr>
              <w:t>Elaborado por</w:t>
            </w:r>
          </w:p>
        </w:tc>
        <w:tc>
          <w:tcPr>
            <w:tcW w:type="dxa" w:w="4561"/>
          </w:tcPr>
          <w:p>
            <w:r>
              <w:rPr>
                <w:sz w:val="20"/>
              </w:rPr>
              <w:t>Equipo SGSI NovaRetail</w:t>
            </w:r>
          </w:p>
        </w:tc>
      </w:tr>
      <w:tr>
        <w:tc>
          <w:tcPr>
            <w:tcW w:type="dxa" w:w="4561"/>
            <w:shd w:val="clear" w:color="auto" w:fill="BDD7EE"/>
          </w:tcPr>
          <w:p>
            <w:r>
              <w:rPr>
                <w:b/>
                <w:sz w:val="20"/>
              </w:rPr>
              <w:t>Revisado por</w:t>
            </w:r>
          </w:p>
        </w:tc>
        <w:tc>
          <w:tcPr>
            <w:tcW w:type="dxa" w:w="4561"/>
          </w:tcPr>
          <w:p>
            <w:r>
              <w:rPr>
                <w:sz w:val="20"/>
              </w:rPr>
              <w:t>CISO</w:t>
            </w:r>
          </w:p>
        </w:tc>
      </w:tr>
      <w:tr>
        <w:tc>
          <w:tcPr>
            <w:tcW w:type="dxa" w:w="4561"/>
            <w:shd w:val="clear" w:color="auto" w:fill="BDD7EE"/>
          </w:tcPr>
          <w:p>
            <w:r>
              <w:rPr>
                <w:b/>
                <w:sz w:val="20"/>
              </w:rPr>
              <w:t>Aprobado por</w:t>
            </w:r>
          </w:p>
        </w:tc>
        <w:tc>
          <w:tcPr>
            <w:tcW w:type="dxa" w:w="4561"/>
          </w:tcPr>
          <w:p>
            <w:r>
              <w:rPr>
                <w:sz w:val="20"/>
              </w:rPr>
              <w:t>Gerencia General</w:t>
            </w:r>
          </w:p>
        </w:tc>
      </w:tr>
      <w:tr>
        <w:tc>
          <w:tcPr>
            <w:tcW w:type="dxa" w:w="4561"/>
            <w:shd w:val="clear" w:color="auto" w:fill="BDD7EE"/>
          </w:tcPr>
          <w:p>
            <w:r>
              <w:rPr>
                <w:b/>
                <w:sz w:val="20"/>
              </w:rPr>
              <w:t>Próxima revisión</w:t>
            </w:r>
          </w:p>
        </w:tc>
        <w:tc>
          <w:tcPr>
            <w:tcW w:type="dxa" w:w="4561"/>
          </w:tcPr>
          <w:p>
            <w:r>
              <w:rPr>
                <w:sz w:val="20"/>
              </w:rPr>
              <w:t>22-04-2027</w:t>
            </w:r>
          </w:p>
        </w:tc>
      </w:tr>
    </w:tbl>
    <w:p>
      <w:pPr>
        <w:spacing w:before="200" w:after="80"/>
      </w:pPr>
      <w:r>
        <w:rPr>
          <w:b/>
          <w:color w:val="1F3864"/>
          <w:sz w:val="26"/>
        </w:rPr>
        <w:t>2. Objetivo</w:t>
      </w:r>
    </w:p>
    <w:p>
      <w:pPr>
        <w:spacing w:after="40"/>
      </w:pPr>
      <w:r>
        <w:rPr>
          <w:sz w:val="22"/>
        </w:rPr>
        <w:t>Establecer los controles de seguridad de la información aplicables antes, durante y al término de la relación laboral o contractual de personas con NovaRetail SpA, asegurando que los empleados y contratistas conozcan sus responsabilidades de seguridad y que el cese de la relación no genere riesgos residuales de acceso no autorizado o fuga de información.</w:t>
      </w:r>
    </w:p>
    <w:p>
      <w:pPr>
        <w:spacing w:before="200" w:after="80"/>
      </w:pPr>
      <w:r>
        <w:rPr>
          <w:b/>
          <w:color w:val="1F3864"/>
          <w:sz w:val="26"/>
        </w:rPr>
        <w:t>3. Alcance</w:t>
      </w:r>
    </w:p>
    <w:p>
      <w:pPr>
        <w:spacing w:after="40"/>
      </w:pPr>
      <w:r>
        <w:rPr>
          <w:sz w:val="22"/>
        </w:rPr>
        <w:t>Aplica a todo el ciclo de vida de la relación con las personas que trabajan para o en nombre de NovaRetail SpA: empleados de planta, personal a honorarios, contratistas, practicantes y personal de proveedores con acceso a instalaciones o sistemas de NovaRetail.</w:t>
      </w:r>
    </w:p>
    <w:p>
      <w:pPr>
        <w:spacing w:before="200" w:after="80"/>
      </w:pPr>
      <w:r>
        <w:rPr>
          <w:b/>
          <w:color w:val="1F3864"/>
          <w:sz w:val="26"/>
        </w:rPr>
        <w:t>4. Roles y responsabilidades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35"/>
        <w:gridCol w:w="6236"/>
      </w:tblGrid>
      <w:tr>
        <w:tc>
          <w:tcPr>
            <w:tcW w:type="dxa" w:w="2835"/>
            <w:shd w:val="clear" w:color="auto" w:fill="BDD7EE"/>
          </w:tcPr>
          <w:p>
            <w:r>
              <w:rPr>
                <w:b/>
                <w:sz w:val="20"/>
              </w:rPr>
              <w:t>RRHH</w:t>
            </w:r>
          </w:p>
        </w:tc>
        <w:tc>
          <w:tcPr>
            <w:tcW w:type="dxa" w:w="6236"/>
          </w:tcPr>
          <w:p>
            <w:r>
              <w:rPr>
                <w:sz w:val="20"/>
              </w:rPr>
              <w:t>Gestiona el proceso de selección, onboarding y offboarding. Notifica a Gerencia TI y CISO los cambios de personal.</w:t>
            </w:r>
          </w:p>
        </w:tc>
      </w:tr>
      <w:tr>
        <w:tc>
          <w:tcPr>
            <w:tcW w:type="dxa" w:w="2835"/>
            <w:shd w:val="clear" w:color="auto" w:fill="BDD7EE"/>
          </w:tcPr>
          <w:p>
            <w:r>
              <w:rPr>
                <w:b/>
                <w:sz w:val="20"/>
              </w:rPr>
              <w:t>CISO</w:t>
            </w:r>
          </w:p>
        </w:tc>
        <w:tc>
          <w:tcPr>
            <w:tcW w:type="dxa" w:w="6236"/>
          </w:tcPr>
          <w:p>
            <w:r>
              <w:rPr>
                <w:sz w:val="20"/>
              </w:rPr>
              <w:t>Define los requisitos de seguridad para el personal. Aprueba el contenido de la capacitación en seguridad.</w:t>
            </w:r>
          </w:p>
        </w:tc>
      </w:tr>
      <w:tr>
        <w:tc>
          <w:tcPr>
            <w:tcW w:type="dxa" w:w="2835"/>
            <w:shd w:val="clear" w:color="auto" w:fill="BDD7EE"/>
          </w:tcPr>
          <w:p>
            <w:r>
              <w:rPr>
                <w:b/>
                <w:sz w:val="20"/>
              </w:rPr>
              <w:t>Gerencia TI</w:t>
            </w:r>
          </w:p>
        </w:tc>
        <w:tc>
          <w:tcPr>
            <w:tcW w:type="dxa" w:w="6236"/>
          </w:tcPr>
          <w:p>
            <w:r>
              <w:rPr>
                <w:sz w:val="20"/>
              </w:rPr>
              <w:t>Gestiona los accesos técnicos en los procesos de alta y baja (ver PROC-SGSI-06).</w:t>
            </w:r>
          </w:p>
        </w:tc>
      </w:tr>
      <w:tr>
        <w:tc>
          <w:tcPr>
            <w:tcW w:type="dxa" w:w="2835"/>
            <w:shd w:val="clear" w:color="auto" w:fill="BDD7EE"/>
          </w:tcPr>
          <w:p>
            <w:r>
              <w:rPr>
                <w:b/>
                <w:sz w:val="20"/>
              </w:rPr>
              <w:t>Jefatura directa</w:t>
            </w:r>
          </w:p>
        </w:tc>
        <w:tc>
          <w:tcPr>
            <w:tcW w:type="dxa" w:w="6236"/>
          </w:tcPr>
          <w:p>
            <w:r>
              <w:rPr>
                <w:sz w:val="20"/>
              </w:rPr>
              <w:t>Aprueba los accesos del colaborador. Valida que recibió la inducción de seguridad. Notifica cambios de rol.</w:t>
            </w:r>
          </w:p>
        </w:tc>
      </w:tr>
      <w:tr>
        <w:tc>
          <w:tcPr>
            <w:tcW w:type="dxa" w:w="2835"/>
            <w:shd w:val="clear" w:color="auto" w:fill="BDD7EE"/>
          </w:tcPr>
          <w:p>
            <w:r>
              <w:rPr>
                <w:b/>
                <w:sz w:val="20"/>
              </w:rPr>
              <w:t>Legal</w:t>
            </w:r>
          </w:p>
        </w:tc>
        <w:tc>
          <w:tcPr>
            <w:tcW w:type="dxa" w:w="6236"/>
          </w:tcPr>
          <w:p>
            <w:r>
              <w:rPr>
                <w:sz w:val="20"/>
              </w:rPr>
              <w:t>Asegura que los contratos incluyen las cláusulas de confidencialidad y los compromisos de seguridad requeridos.</w:t>
            </w:r>
          </w:p>
        </w:tc>
      </w:tr>
    </w:tbl>
    <w:p>
      <w:pPr>
        <w:spacing w:before="200" w:after="80"/>
      </w:pPr>
      <w:r>
        <w:rPr>
          <w:b/>
          <w:color w:val="1F3864"/>
          <w:sz w:val="26"/>
        </w:rPr>
        <w:t>5. Lineamientos de la política</w:t>
      </w:r>
    </w:p>
    <w:p>
      <w:pPr>
        <w:spacing w:before="140"/>
      </w:pPr>
      <w:r>
        <w:rPr>
          <w:b/>
          <w:sz w:val="22"/>
        </w:rPr>
        <w:t>5.1 Antes de la contratación (pre-empleo)</w:t>
      </w:r>
    </w:p>
    <w:p>
      <w:pPr>
        <w:spacing w:after="40"/>
      </w:pPr>
      <w:r>
        <w:rPr>
          <w:sz w:val="22"/>
        </w:rPr>
        <w:t>• Para cargos con acceso a información Confidencial o Secreta, se realizan verificaciones de antecedentes proporcionales al nivel de riesgo del cargo: verificación de identidad, referencias laborales y, para cargos con acceso a datos PCI o sistemas críticos, verificación de antecedentes penales según la normativa aplicable y con consentimiento del postulante.</w:t>
      </w:r>
    </w:p>
    <w:p>
      <w:pPr>
        <w:spacing w:after="40"/>
      </w:pPr>
      <w:r>
        <w:rPr>
          <w:sz w:val="22"/>
        </w:rPr>
        <w:t>• Los contratos de trabajo y honorarios deben incluir cláusulas explícitas de: confidencialidad de la información de NovaRetail, prohibición de divulgar datos de clientes, obligación de reportar incidentes de seguridad, consecuencias disciplinarias y legales del incumplimiento.</w:t>
      </w:r>
    </w:p>
    <w:p>
      <w:pPr>
        <w:spacing w:after="40"/>
      </w:pPr>
      <w:r>
        <w:rPr>
          <w:sz w:val="22"/>
        </w:rPr>
        <w:t>• Los contratistas y proveedores con acceso a sistemas firman adicionalmente un Acuerdo de No Divulgación (NDA) antes de iniciar actividades.</w:t>
      </w:r>
    </w:p>
    <w:p>
      <w:pPr>
        <w:spacing w:before="140"/>
      </w:pPr>
      <w:r>
        <w:rPr>
          <w:b/>
          <w:sz w:val="22"/>
        </w:rPr>
        <w:t>5.2 Durante la contratación (onboarding)</w:t>
      </w:r>
    </w:p>
    <w:p>
      <w:pPr>
        <w:spacing w:after="40"/>
      </w:pPr>
      <w:r>
        <w:rPr>
          <w:sz w:val="22"/>
        </w:rPr>
        <w:t>En el primer día de trabajo, todo nuevo empleado o contratista debe completar el checklist de incorporación de seguridad: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50"/>
        <w:gridCol w:w="5386"/>
        <w:gridCol w:w="2835"/>
      </w:tblGrid>
      <w:tr>
        <w:tc>
          <w:tcPr>
            <w:tcW w:type="dxa" w:w="850"/>
            <w:shd w:val="clear" w:color="auto" w:fill="1F3864"/>
          </w:tcPr>
          <w:p>
            <w:r>
              <w:rPr>
                <w:b/>
                <w:color w:val="FFFFFF"/>
                <w:sz w:val="20"/>
              </w:rPr>
            </w:r>
          </w:p>
        </w:tc>
        <w:tc>
          <w:tcPr>
            <w:tcW w:type="dxa" w:w="5386"/>
            <w:shd w:val="clear" w:color="auto" w:fill="1F3864"/>
          </w:tcPr>
          <w:p>
            <w:r>
              <w:rPr>
                <w:b/>
                <w:color w:val="FFFFFF"/>
                <w:sz w:val="20"/>
              </w:rPr>
              <w:t>Actividad</w:t>
            </w:r>
          </w:p>
        </w:tc>
        <w:tc>
          <w:tcPr>
            <w:tcW w:type="dxa" w:w="2835"/>
            <w:shd w:val="clear" w:color="auto" w:fill="1F3864"/>
          </w:tcPr>
          <w:p>
            <w:r>
              <w:rPr>
                <w:b/>
                <w:color w:val="FFFFFF"/>
                <w:sz w:val="20"/>
              </w:rPr>
              <w:t>Responsable</w:t>
            </w:r>
          </w:p>
        </w:tc>
      </w:tr>
      <w:tr>
        <w:tc>
          <w:tcPr>
            <w:tcW w:type="dxa" w:w="850"/>
          </w:tcPr>
          <w:p>
            <w:r>
              <w:rPr>
                <w:sz w:val="20"/>
              </w:rPr>
              <w:t>[ ]</w:t>
            </w:r>
          </w:p>
        </w:tc>
        <w:tc>
          <w:tcPr>
            <w:tcW w:type="dxa" w:w="5386"/>
          </w:tcPr>
          <w:p>
            <w:r>
              <w:rPr>
                <w:sz w:val="20"/>
              </w:rPr>
              <w:t>Firma del contrato con cláusulas de confidencialidad y seguridad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RRHH + Legal</w:t>
            </w:r>
          </w:p>
        </w:tc>
      </w:tr>
      <w:tr>
        <w:tc>
          <w:tcPr>
            <w:tcW w:type="dxa" w:w="850"/>
          </w:tcPr>
          <w:p>
            <w:r>
              <w:rPr>
                <w:sz w:val="20"/>
              </w:rPr>
              <w:t>[ ]</w:t>
            </w:r>
          </w:p>
        </w:tc>
        <w:tc>
          <w:tcPr>
            <w:tcW w:type="dxa" w:w="5386"/>
          </w:tcPr>
          <w:p>
            <w:r>
              <w:rPr>
                <w:sz w:val="20"/>
              </w:rPr>
              <w:t>Lectura y firma de aceptación de las Políticas de Seguridad del SGSI (POL-SGSI-01 a 14)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RRHH + CISO</w:t>
            </w:r>
          </w:p>
        </w:tc>
      </w:tr>
      <w:tr>
        <w:tc>
          <w:tcPr>
            <w:tcW w:type="dxa" w:w="850"/>
          </w:tcPr>
          <w:p>
            <w:r>
              <w:rPr>
                <w:sz w:val="20"/>
              </w:rPr>
              <w:t>[ ]</w:t>
            </w:r>
          </w:p>
        </w:tc>
        <w:tc>
          <w:tcPr>
            <w:tcW w:type="dxa" w:w="5386"/>
          </w:tcPr>
          <w:p>
            <w:r>
              <w:rPr>
                <w:sz w:val="20"/>
              </w:rPr>
              <w:t>Inducción de seguridad: uso aceptable, contraseñas, reporte de incidentes, clasificación de información (mín. 1 hora)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RRHH / CISO</w:t>
            </w:r>
          </w:p>
        </w:tc>
      </w:tr>
      <w:tr>
        <w:tc>
          <w:tcPr>
            <w:tcW w:type="dxa" w:w="850"/>
          </w:tcPr>
          <w:p>
            <w:r>
              <w:rPr>
                <w:sz w:val="20"/>
              </w:rPr>
              <w:t>[ ]</w:t>
            </w:r>
          </w:p>
        </w:tc>
        <w:tc>
          <w:tcPr>
            <w:tcW w:type="dxa" w:w="5386"/>
          </w:tcPr>
          <w:p>
            <w:r>
              <w:rPr>
                <w:sz w:val="20"/>
              </w:rPr>
              <w:t>Entrega de credenciales de acceso y alta en el gestor de contraseñas corporativo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Gerencia TI</w:t>
            </w:r>
          </w:p>
        </w:tc>
      </w:tr>
      <w:tr>
        <w:tc>
          <w:tcPr>
            <w:tcW w:type="dxa" w:w="850"/>
          </w:tcPr>
          <w:p>
            <w:r>
              <w:rPr>
                <w:sz w:val="20"/>
              </w:rPr>
              <w:t>[ ]</w:t>
            </w:r>
          </w:p>
        </w:tc>
        <w:tc>
          <w:tcPr>
            <w:tcW w:type="dxa" w:w="5386"/>
          </w:tcPr>
          <w:p>
            <w:r>
              <w:rPr>
                <w:sz w:val="20"/>
              </w:rPr>
              <w:t>Configuración de MFA en todos los sistemas corporativos requeridos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Gerencia TI</w:t>
            </w:r>
          </w:p>
        </w:tc>
      </w:tr>
      <w:tr>
        <w:tc>
          <w:tcPr>
            <w:tcW w:type="dxa" w:w="850"/>
          </w:tcPr>
          <w:p>
            <w:r>
              <w:rPr>
                <w:sz w:val="20"/>
              </w:rPr>
              <w:t>[ ]</w:t>
            </w:r>
          </w:p>
        </w:tc>
        <w:tc>
          <w:tcPr>
            <w:tcW w:type="dxa" w:w="5386"/>
          </w:tcPr>
          <w:p>
            <w:r>
              <w:rPr>
                <w:sz w:val="20"/>
              </w:rPr>
              <w:t>Entrega de equipo corporativo (si aplica) con cifrado de disco habilitado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Gerencia TI</w:t>
            </w:r>
          </w:p>
        </w:tc>
      </w:tr>
    </w:tbl>
    <w:p>
      <w:pPr>
        <w:spacing w:before="140"/>
      </w:pPr>
      <w:r>
        <w:rPr>
          <w:b/>
          <w:sz w:val="22"/>
        </w:rPr>
        <w:t>5.3 Durante el empleo (cambios de rol y responsabilidades)</w:t>
      </w:r>
    </w:p>
    <w:p>
      <w:pPr>
        <w:spacing w:after="40"/>
      </w:pPr>
      <w:r>
        <w:rPr>
          <w:sz w:val="22"/>
        </w:rPr>
        <w:t>• Todo cambio de cargo, área o responsabilidades se notifica a Gerencia TI y CISO dentro de las 24 horas, para ajustar los accesos conforme a PROC-SGSI-06.</w:t>
      </w:r>
    </w:p>
    <w:p>
      <w:pPr>
        <w:spacing w:after="40"/>
      </w:pPr>
      <w:r>
        <w:rPr>
          <w:sz w:val="22"/>
        </w:rPr>
        <w:t>• Los empleados con acceso a información Confidencial o Secreta completan capacitación en ciberseguridad al menos una vez al año (T-19).</w:t>
      </w:r>
    </w:p>
    <w:p>
      <w:pPr>
        <w:spacing w:after="40"/>
      </w:pPr>
      <w:r>
        <w:rPr>
          <w:sz w:val="22"/>
        </w:rPr>
        <w:t>• Las jefaturas reportan al CISO cualquier comportamiento inusual de un colaborador relacionado con el acceso a información (accesos fuera de horario, intentos de acceso a sistemas no autorizados, descarga masiva de datos).</w:t>
      </w:r>
    </w:p>
    <w:p>
      <w:pPr>
        <w:spacing w:before="140"/>
      </w:pPr>
      <w:r>
        <w:rPr>
          <w:b/>
          <w:sz w:val="22"/>
        </w:rPr>
        <w:t>5.4 Término de la relación laboral (offboarding)</w:t>
      </w:r>
    </w:p>
    <w:p>
      <w:pPr>
        <w:spacing w:after="40"/>
      </w:pPr>
      <w:r>
        <w:rPr>
          <w:sz w:val="22"/>
        </w:rPr>
        <w:t>El proceso de desvinculación sigue el checklist de offboarding de seguridad: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50"/>
        <w:gridCol w:w="5386"/>
        <w:gridCol w:w="2835"/>
      </w:tblGrid>
      <w:tr>
        <w:tc>
          <w:tcPr>
            <w:tcW w:type="dxa" w:w="850"/>
            <w:shd w:val="clear" w:color="auto" w:fill="1F3864"/>
          </w:tcPr>
          <w:p>
            <w:r>
              <w:rPr>
                <w:b/>
                <w:color w:val="FFFFFF"/>
                <w:sz w:val="20"/>
              </w:rPr>
            </w:r>
          </w:p>
        </w:tc>
        <w:tc>
          <w:tcPr>
            <w:tcW w:type="dxa" w:w="5386"/>
            <w:shd w:val="clear" w:color="auto" w:fill="1F3864"/>
          </w:tcPr>
          <w:p>
            <w:r>
              <w:rPr>
                <w:b/>
                <w:color w:val="FFFFFF"/>
                <w:sz w:val="20"/>
              </w:rPr>
              <w:t>Actividad</w:t>
            </w:r>
          </w:p>
        </w:tc>
        <w:tc>
          <w:tcPr>
            <w:tcW w:type="dxa" w:w="2835"/>
            <w:shd w:val="clear" w:color="auto" w:fill="1F3864"/>
          </w:tcPr>
          <w:p>
            <w:r>
              <w:rPr>
                <w:b/>
                <w:color w:val="FFFFFF"/>
                <w:sz w:val="20"/>
              </w:rPr>
              <w:t>Responsable</w:t>
            </w:r>
          </w:p>
        </w:tc>
      </w:tr>
      <w:tr>
        <w:tc>
          <w:tcPr>
            <w:tcW w:type="dxa" w:w="850"/>
          </w:tcPr>
          <w:p>
            <w:r>
              <w:rPr>
                <w:sz w:val="20"/>
              </w:rPr>
              <w:t>[ ]</w:t>
            </w:r>
          </w:p>
        </w:tc>
        <w:tc>
          <w:tcPr>
            <w:tcW w:type="dxa" w:w="5386"/>
          </w:tcPr>
          <w:p>
            <w:r>
              <w:rPr>
                <w:sz w:val="20"/>
              </w:rPr>
              <w:t>RRHH notifica a Gerencia TI y CISO la desvinculación (con anticipación cuando sea posible)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RRHH</w:t>
            </w:r>
          </w:p>
        </w:tc>
      </w:tr>
      <w:tr>
        <w:tc>
          <w:tcPr>
            <w:tcW w:type="dxa" w:w="850"/>
          </w:tcPr>
          <w:p>
            <w:r>
              <w:rPr>
                <w:sz w:val="20"/>
              </w:rPr>
              <w:t>[ ]</w:t>
            </w:r>
          </w:p>
        </w:tc>
        <w:tc>
          <w:tcPr>
            <w:tcW w:type="dxa" w:w="5386"/>
          </w:tcPr>
          <w:p>
            <w:r>
              <w:rPr>
                <w:sz w:val="20"/>
              </w:rPr>
              <w:t>Revocación de todos los accesos lógicos el mismo día de la desvinculación (ver PROC-SGSI-06 Proceso C)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Gerencia TI</w:t>
            </w:r>
          </w:p>
        </w:tc>
      </w:tr>
      <w:tr>
        <w:tc>
          <w:tcPr>
            <w:tcW w:type="dxa" w:w="850"/>
          </w:tcPr>
          <w:p>
            <w:r>
              <w:rPr>
                <w:sz w:val="20"/>
              </w:rPr>
              <w:t>[ ]</w:t>
            </w:r>
          </w:p>
        </w:tc>
        <w:tc>
          <w:tcPr>
            <w:tcW w:type="dxa" w:w="5386"/>
          </w:tcPr>
          <w:p>
            <w:r>
              <w:rPr>
                <w:sz w:val="20"/>
              </w:rPr>
              <w:t>Rotación de contraseñas compartidas o de equipo a las que el empleado tenía acceso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Gerencia TI</w:t>
            </w:r>
          </w:p>
        </w:tc>
      </w:tr>
      <w:tr>
        <w:tc>
          <w:tcPr>
            <w:tcW w:type="dxa" w:w="850"/>
          </w:tcPr>
          <w:p>
            <w:r>
              <w:rPr>
                <w:sz w:val="20"/>
              </w:rPr>
              <w:t>[ ]</w:t>
            </w:r>
          </w:p>
        </w:tc>
        <w:tc>
          <w:tcPr>
            <w:tcW w:type="dxa" w:w="5386"/>
          </w:tcPr>
          <w:p>
            <w:r>
              <w:rPr>
                <w:sz w:val="20"/>
              </w:rPr>
              <w:t>Devolución de equipos corporativos (laptop, tablet, token, tarjeta de acceso físico)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RRHH + Gerencia TI</w:t>
            </w:r>
          </w:p>
        </w:tc>
      </w:tr>
      <w:tr>
        <w:tc>
          <w:tcPr>
            <w:tcW w:type="dxa" w:w="850"/>
          </w:tcPr>
          <w:p>
            <w:r>
              <w:rPr>
                <w:sz w:val="20"/>
              </w:rPr>
              <w:t>[ ]</w:t>
            </w:r>
          </w:p>
        </w:tc>
        <w:tc>
          <w:tcPr>
            <w:tcW w:type="dxa" w:w="5386"/>
          </w:tcPr>
          <w:p>
            <w:r>
              <w:rPr>
                <w:sz w:val="20"/>
              </w:rPr>
              <w:t>Borrado seguro del equipo devuelto antes de su reasignación (ver PROC-SGSI-12)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Gerencia TI</w:t>
            </w:r>
          </w:p>
        </w:tc>
      </w:tr>
      <w:tr>
        <w:tc>
          <w:tcPr>
            <w:tcW w:type="dxa" w:w="850"/>
          </w:tcPr>
          <w:p>
            <w:r>
              <w:rPr>
                <w:sz w:val="20"/>
              </w:rPr>
              <w:t>[ ]</w:t>
            </w:r>
          </w:p>
        </w:tc>
        <w:tc>
          <w:tcPr>
            <w:tcW w:type="dxa" w:w="5386"/>
          </w:tcPr>
          <w:p>
            <w:r>
              <w:rPr>
                <w:sz w:val="20"/>
              </w:rPr>
              <w:t>Revisión de logs del empleado en las últimas 72 horas (en casos de despido por causa grave)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CISO</w:t>
            </w:r>
          </w:p>
        </w:tc>
      </w:tr>
      <w:tr>
        <w:tc>
          <w:tcPr>
            <w:tcW w:type="dxa" w:w="850"/>
          </w:tcPr>
          <w:p>
            <w:r>
              <w:rPr>
                <w:sz w:val="20"/>
              </w:rPr>
              <w:t>[ ]</w:t>
            </w:r>
          </w:p>
        </w:tc>
        <w:tc>
          <w:tcPr>
            <w:tcW w:type="dxa" w:w="5386"/>
          </w:tcPr>
          <w:p>
            <w:r>
              <w:rPr>
                <w:sz w:val="20"/>
              </w:rPr>
              <w:t>Firma del finiquito con recordatorio de las obligaciones de confidencialidad post-empleo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RRHH + Legal</w:t>
            </w:r>
          </w:p>
        </w:tc>
      </w:tr>
      <w:tr>
        <w:tc>
          <w:tcPr>
            <w:tcW w:type="dxa" w:w="850"/>
          </w:tcPr>
          <w:p>
            <w:r>
              <w:rPr>
                <w:sz w:val="20"/>
              </w:rPr>
              <w:t>[ ]</w:t>
            </w:r>
          </w:p>
        </w:tc>
        <w:tc>
          <w:tcPr>
            <w:tcW w:type="dxa" w:w="5386"/>
          </w:tcPr>
          <w:p>
            <w:r>
              <w:rPr>
                <w:sz w:val="20"/>
              </w:rPr>
              <w:t>Desactivación del correo corporativo y redireccionamiento de mensajes entrantes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Gerencia TI</w:t>
            </w:r>
          </w:p>
        </w:tc>
      </w:tr>
    </w:tbl>
    <w:p>
      <w:pPr>
        <w:spacing w:before="140"/>
      </w:pPr>
      <w:r>
        <w:rPr>
          <w:b/>
          <w:sz w:val="22"/>
        </w:rPr>
        <w:t>5.5 Obligaciones de confidencialidad post-empleo</w:t>
      </w:r>
    </w:p>
    <w:p>
      <w:pPr>
        <w:spacing w:after="40"/>
      </w:pPr>
      <w:r>
        <w:rPr>
          <w:sz w:val="22"/>
        </w:rPr>
        <w:t>• Las obligaciones de confidencialidad sobre información Secreta o Confidencial de NovaRetail se extienden por 2 años tras el término de la relación laboral, salvo que la ley o el contrato establezcan un plazo mayor.</w:t>
      </w:r>
    </w:p>
    <w:p>
      <w:pPr>
        <w:spacing w:after="40"/>
      </w:pPr>
      <w:r>
        <w:rPr>
          <w:sz w:val="22"/>
        </w:rPr>
        <w:t>• El ex-empleado no puede divulgar, usar en beneficio propio ni trasladar a su nuevo empleador información clasificada de NovaRetail.</w:t>
      </w:r>
    </w:p>
    <w:p>
      <w:pPr>
        <w:spacing w:after="40"/>
      </w:pPr>
      <w:r>
        <w:rPr>
          <w:sz w:val="22"/>
        </w:rPr>
        <w:t>• NovaRetail puede ejercer acciones legales ante el incumplimiento de estas obligaciones.</w:t>
      </w:r>
    </w:p>
    <w:p>
      <w:pPr>
        <w:spacing w:before="200" w:after="80"/>
      </w:pPr>
      <w:r>
        <w:rPr>
          <w:b/>
          <w:color w:val="1F3864"/>
          <w:sz w:val="26"/>
        </w:rPr>
        <w:t>6. Incumplimientos</w:t>
      </w:r>
    </w:p>
    <w:p>
      <w:pPr>
        <w:spacing w:after="40"/>
      </w:pPr>
      <w:r>
        <w:rPr>
          <w:sz w:val="22"/>
        </w:rPr>
        <w:t>Todo incumplimiento a esta política deberá ser reportado al CISO y gestionado conforme al procedimiento interno de gestión de incidentes y al reglamento interno de NovaRetail SpA. Puede dar origen a medidas disciplinarias según la normativa laboral aplicable. El incumplimiento de las obligaciones de seguridad durante el empleo puede dar lugar a término de contrato con causa justificada. Las infracciones post-empleo pueden derivar en acciones civiles y penales.</w:t>
      </w:r>
    </w:p>
    <w:p>
      <w:pPr>
        <w:spacing w:before="200" w:after="80"/>
      </w:pPr>
      <w:r>
        <w:rPr>
          <w:b/>
          <w:color w:val="1F3864"/>
          <w:sz w:val="26"/>
        </w:rPr>
        <w:t>7. Documentos relacionados</w:t>
      </w:r>
    </w:p>
    <w:p>
      <w:pPr>
        <w:spacing w:after="40"/>
      </w:pPr>
      <w:r>
        <w:rPr>
          <w:sz w:val="22"/>
        </w:rPr>
        <w:t>• POL-SGSI-01 — Política de control de acceso</w:t>
      </w:r>
    </w:p>
    <w:p>
      <w:pPr>
        <w:spacing w:after="40"/>
      </w:pPr>
      <w:r>
        <w:rPr>
          <w:sz w:val="22"/>
        </w:rPr>
        <w:t>• PROC-SGSI-06 — Procedimiento de alta, modificación y baja de accesos</w:t>
      </w:r>
    </w:p>
    <w:p>
      <w:pPr>
        <w:spacing w:after="40"/>
      </w:pPr>
      <w:r>
        <w:rPr>
          <w:sz w:val="22"/>
        </w:rPr>
        <w:t>• PROC-SGSI-08 — Procedimiento de uso del gestor de contraseñas</w:t>
      </w:r>
    </w:p>
    <w:p>
      <w:pPr>
        <w:spacing w:after="40"/>
      </w:pPr>
      <w:r>
        <w:rPr>
          <w:sz w:val="22"/>
        </w:rPr>
        <w:t>• PROC-SGSI-12 — Procedimiento de retención y eliminación segura</w:t>
      </w:r>
    </w:p>
    <w:p>
      <w:pPr>
        <w:spacing w:after="40"/>
      </w:pPr>
      <w:r>
        <w:rPr>
          <w:sz w:val="22"/>
        </w:rPr>
        <w:t>• SoA – controles 6.1, 6.2, 6.5 (ISO/IEC 27001:2022)</w:t>
      </w:r>
    </w:p>
    <w:p>
      <w:pPr>
        <w:spacing w:after="40"/>
      </w:pPr>
      <w:r>
        <w:rPr>
          <w:sz w:val="22"/>
        </w:rPr>
        <w:t>• Matriz de riesgos (R-07, R-15)</w:t>
      </w:r>
    </w:p>
    <w:p>
      <w:pPr>
        <w:spacing w:before="200" w:after="80"/>
      </w:pPr>
      <w:r>
        <w:rPr>
          <w:b/>
          <w:color w:val="1F3864"/>
          <w:sz w:val="26"/>
        </w:rPr>
        <w:t>8. Control de cambios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80"/>
        <w:gridCol w:w="2280"/>
        <w:gridCol w:w="2280"/>
        <w:gridCol w:w="2280"/>
      </w:tblGrid>
      <w:tr>
        <w:tc>
          <w:tcPr>
            <w:tcW w:type="dxa" w:w="2280"/>
            <w:shd w:val="clear" w:color="auto" w:fill="BDD7EE"/>
          </w:tcPr>
          <w:p>
            <w:r>
              <w:rPr>
                <w:b/>
                <w:color w:val="000000"/>
                <w:sz w:val="20"/>
              </w:rPr>
              <w:t>Versión</w:t>
            </w:r>
          </w:p>
        </w:tc>
        <w:tc>
          <w:tcPr>
            <w:tcW w:type="dxa" w:w="2280"/>
            <w:shd w:val="clear" w:color="auto" w:fill="BDD7EE"/>
          </w:tcPr>
          <w:p>
            <w:r>
              <w:rPr>
                <w:b/>
                <w:color w:val="000000"/>
                <w:sz w:val="20"/>
              </w:rPr>
              <w:t>Fecha</w:t>
            </w:r>
          </w:p>
        </w:tc>
        <w:tc>
          <w:tcPr>
            <w:tcW w:type="dxa" w:w="2280"/>
            <w:shd w:val="clear" w:color="auto" w:fill="BDD7EE"/>
          </w:tcPr>
          <w:p>
            <w:r>
              <w:rPr>
                <w:b/>
                <w:color w:val="000000"/>
                <w:sz w:val="20"/>
              </w:rPr>
              <w:t>Descripción del cambio</w:t>
            </w:r>
          </w:p>
        </w:tc>
        <w:tc>
          <w:tcPr>
            <w:tcW w:type="dxa" w:w="2280"/>
            <w:shd w:val="clear" w:color="auto" w:fill="BDD7EE"/>
          </w:tcPr>
          <w:p>
            <w:r>
              <w:rPr>
                <w:b/>
                <w:color w:val="000000"/>
                <w:sz w:val="20"/>
              </w:rPr>
              <w:t>Responsable</w:t>
            </w:r>
          </w:p>
        </w:tc>
      </w:tr>
      <w:tr>
        <w:tc>
          <w:tcPr>
            <w:tcW w:type="dxa" w:w="2280"/>
          </w:tcPr>
          <w:p>
            <w:r>
              <w:rPr>
                <w:sz w:val="20"/>
              </w:rPr>
              <w:t>1.0</w:t>
            </w:r>
          </w:p>
        </w:tc>
        <w:tc>
          <w:tcPr>
            <w:tcW w:type="dxa" w:w="2280"/>
          </w:tcPr>
          <w:p>
            <w:r>
              <w:rPr>
                <w:sz w:val="20"/>
              </w:rPr>
              <w:t>22-04-2026</w:t>
            </w:r>
          </w:p>
        </w:tc>
        <w:tc>
          <w:tcPr>
            <w:tcW w:type="dxa" w:w="2280"/>
          </w:tcPr>
          <w:p>
            <w:r>
              <w:rPr>
                <w:sz w:val="20"/>
              </w:rPr>
              <w:t>Emisión inicial del documento</w:t>
            </w:r>
          </w:p>
        </w:tc>
        <w:tc>
          <w:tcPr>
            <w:tcW w:type="dxa" w:w="2280"/>
          </w:tcPr>
          <w:p>
            <w:r>
              <w:rPr>
                <w:sz w:val="20"/>
              </w:rPr>
              <w:t>Equipo SGSI NovaRetail</w:t>
            </w:r>
          </w:p>
        </w:tc>
      </w:tr>
    </w:tbl>
    <w:sectPr w:rsidR="00FC693F" w:rsidRPr="0006063C" w:rsidSect="00034616">
      <w:pgSz w:w="12240" w:h="15840"/>
      <w:pgMar w:top="1417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6" Type="http://schemas.openxmlformats.org/officeDocument/2006/relationships/webSettings" Target="webSettings.xml"/><Relationship Id="rId1" Type="http://schemas.openxmlformats.org/officeDocument/2006/relationships/customXml" Target="../customXml/item1.xml"/><Relationship Id="rId11" Type="http://schemas.openxmlformats.org/officeDocument/2006/relationships/customXml" Target="../customXml/item4.xml"/><Relationship Id="rId5" Type="http://schemas.openxmlformats.org/officeDocument/2006/relationships/settings" Target="settings.xml"/><Relationship Id="rId10" Type="http://schemas.openxmlformats.org/officeDocument/2006/relationships/customXml" Target="../customXml/item3.xml"/><Relationship Id="rId4" Type="http://schemas.microsoft.com/office/2007/relationships/stylesWithEffects" Target="stylesWithEffects.xml"/><Relationship Id="rId9" Type="http://schemas.openxmlformats.org/officeDocument/2006/relationships/customXml" Target="../customXml/item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F157D06D9BF21845883178A07635BF0C" ma:contentTypeVersion="10" ma:contentTypeDescription="Crear nuevo documento." ma:contentTypeScope="" ma:versionID="575d623067b72151a8374f2b990c1272">
  <xsd:schema xmlns:xsd="http://www.w3.org/2001/XMLSchema" xmlns:xs="http://www.w3.org/2001/XMLSchema" xmlns:p="http://schemas.microsoft.com/office/2006/metadata/properties" xmlns:ns2="ba7224a4-a1e3-4c3e-badf-085058869b86" xmlns:ns3="4fc427ff-965a-4fb4-bd01-7c253ae8b03b" targetNamespace="http://schemas.microsoft.com/office/2006/metadata/properties" ma:root="true" ma:fieldsID="53e290cc238b21a49accbbf14491a7b2" ns2:_="" ns3:_="">
    <xsd:import namespace="ba7224a4-a1e3-4c3e-badf-085058869b86"/>
    <xsd:import namespace="4fc427ff-965a-4fb4-bd01-7c253ae8b03b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a7224a4-a1e3-4c3e-badf-085058869b8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Etiquetas de imagen" ma:readOnly="false" ma:fieldId="{5cf76f15-5ced-4ddc-b409-7134ff3c332f}" ma:taxonomyMulti="true" ma:sspId="5e777c97-9e47-4338-8e8a-2390167a3586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fc427ff-965a-4fb4-bd01-7c253ae8b03b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86247468-c4c7-4c67-a550-c3fa8442b9ab}" ma:internalName="TaxCatchAll" ma:showField="CatchAllData" ma:web="4fc427ff-965a-4fb4-bd01-7c253ae8b03b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ba7224a4-a1e3-4c3e-badf-085058869b86">
      <Terms xmlns="http://schemas.microsoft.com/office/infopath/2007/PartnerControls"/>
    </lcf76f155ced4ddcb4097134ff3c332f>
    <TaxCatchAll xmlns="4fc427ff-965a-4fb4-bd01-7c253ae8b03b" xsi:nil="true"/>
  </documentManagement>
</p:properties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D3AAE773-5D34-41B2-ACB0-893932A63AB3}"/>
</file>

<file path=customXml/itemProps3.xml><?xml version="1.0" encoding="utf-8"?>
<ds:datastoreItem xmlns:ds="http://schemas.openxmlformats.org/officeDocument/2006/customXml" ds:itemID="{4EEB77B4-F167-4407-92FA-A97E4DB768E5}"/>
</file>

<file path=customXml/itemProps4.xml><?xml version="1.0" encoding="utf-8"?>
<ds:datastoreItem xmlns:ds="http://schemas.openxmlformats.org/officeDocument/2006/customXml" ds:itemID="{95D52D70-C11A-412C-860D-9C8FA724C4EE}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0x010100F157D06D9BF21845883178A07635BF0C</vt:lpwstr>
  </property>
</Properties>
</file>