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  <w:sz w:val="26"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PROC-SGSI-01 — Procedimiento de gestión de actualizaciones y parches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PROC-SGSI-01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POL-SGSI-05 — Gestión de parches y actualizaciones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Definir los pasos operativos para identificar, evaluar, clasificar, probar, desplegar y verificar parches y actualizaciones de software en los sistemas de NovaRetail SpA, diferenciando el tratamiento de parches que requieren reinicio de servicio de aquellos que no lo requieren, y garantizando la trazabilidad del proceso.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sistemas operativos (Windows Server, Linux), aplicaciones de negocio (ERP, portal e-commerce), bases de datos, firmware de dispositivos de red, antivirus y agentes de seguridad instalados en la infraestructura de NovaRetail (datacenter, bodega regional, endpoints corporativos y servicios en la nube M365/Workspace).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 los SLA de parcheo y autoriza excepciones. Revisa el informe mensual de cumplimiento.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Ejecuta y coordina el proceso de parcheo. Administra las ventanas de mantenimiento.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ERI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Prioriza parches según inteligencia de amenazas (CVEs activos) y valida que no haya regresiones de seguridad.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Jefaturas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Aprueban la ventana de mantenimiento para sus sistemas cuando implica corte de servicio.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Identificación y clasificación de parches</w:t>
      </w:r>
    </w:p>
    <w:p>
      <w:pPr>
        <w:spacing w:after="40"/>
      </w:pPr>
      <w:r>
        <w:rPr>
          <w:sz w:val="22"/>
        </w:rPr>
        <w:t>Gerencia TI monitorea semanalmente las fuentes de parches (Microsoft WSUS, boletines de proveedores, CVE NIST, CSIRT Chile) y registra cada parche disponible en el inventario de parches con los siguientes campos:</w:t>
      </w:r>
    </w:p>
    <w:p>
      <w:pPr>
        <w:spacing w:after="40"/>
      </w:pPr>
      <w:r>
        <w:rPr>
          <w:sz w:val="22"/>
        </w:rPr>
        <w:t>• CVE asociado (si aplica)</w:t>
      </w:r>
    </w:p>
    <w:p>
      <w:pPr>
        <w:spacing w:after="40"/>
      </w:pPr>
      <w:r>
        <w:rPr>
          <w:sz w:val="22"/>
        </w:rPr>
        <w:t>• Puntuación CVSS</w:t>
      </w:r>
    </w:p>
    <w:p>
      <w:pPr>
        <w:spacing w:after="40"/>
      </w:pPr>
      <w:r>
        <w:rPr>
          <w:sz w:val="22"/>
        </w:rPr>
        <w:t>• Sistemas afectados en NovaRetail</w:t>
      </w:r>
    </w:p>
    <w:p>
      <w:pPr>
        <w:spacing w:after="40"/>
      </w:pPr>
      <w:r>
        <w:rPr>
          <w:sz w:val="22"/>
        </w:rPr>
        <w:t>• Requiere reinicio: Sí / No</w:t>
      </w:r>
    </w:p>
    <w:p>
      <w:pPr>
        <w:spacing w:after="40"/>
      </w:pPr>
      <w:r>
        <w:rPr>
          <w:sz w:val="22"/>
        </w:rPr>
        <w:t>• Fecha de disponibilidad</w:t>
      </w:r>
    </w:p>
    <w:p>
      <w:pPr>
        <w:spacing w:before="140"/>
      </w:pPr>
      <w:r>
        <w:rPr>
          <w:b/>
          <w:color w:val="2E74B5"/>
          <w:sz w:val="22"/>
        </w:rPr>
        <w:t>Paso 2 — Priorización (SLA según POL-SGSI-05)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984"/>
        <w:gridCol w:w="1984"/>
        <w:gridCol w:w="3402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Criticidad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CVSS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Plazo máx.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Crítico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≥ 9.0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48 horas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Explotación activa conocida o sistemas PCI/e-commerce afectados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7.0–8.9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 días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Vulnerabilidad con PoC público o activo de alto valor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4.0–6.9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30 días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Sin explotación activa confirmada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Bajo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&lt; 4.0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90 días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Parche de mejora o hardening sin impacto de seguridad inmediato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3A — Parches SIN reinicio de servicio</w:t>
      </w:r>
    </w:p>
    <w:p>
      <w:pPr>
        <w:spacing w:after="40"/>
      </w:pPr>
      <w:r>
        <w:rPr>
          <w:sz w:val="22"/>
        </w:rPr>
        <w:t>Estos parches pueden aplicarse durante el horario laboral previa notificación de 1 hora a los usuarios afectados.</w:t>
      </w:r>
    </w:p>
    <w:p>
      <w:pPr>
        <w:spacing w:after="40"/>
      </w:pPr>
      <w:r>
        <w:rPr>
          <w:sz w:val="22"/>
        </w:rPr>
        <w:t>• Gerencia TI aplica el parche en ambiente de pruebas (sandbox) y verifica funcionalidad durante 2 horas.</w:t>
      </w:r>
    </w:p>
    <w:p>
      <w:pPr>
        <w:spacing w:after="40"/>
      </w:pPr>
      <w:r>
        <w:rPr>
          <w:sz w:val="22"/>
        </w:rPr>
        <w:t>• Si no hay regresiones, aplica el parche en producción por lotes de sistemas (no todos simultáneamente).</w:t>
      </w:r>
    </w:p>
    <w:p>
      <w:pPr>
        <w:spacing w:after="40"/>
      </w:pPr>
      <w:r>
        <w:rPr>
          <w:sz w:val="22"/>
        </w:rPr>
        <w:t>• Se registra el resultado en el ticket ITSM con evidencia de versión antes/después.</w:t>
      </w:r>
    </w:p>
    <w:p>
      <w:pPr>
        <w:spacing w:after="40"/>
      </w:pPr>
      <w:r>
        <w:rPr>
          <w:sz w:val="22"/>
        </w:rPr>
        <w:t>• No se requiere ventana de mantenimiento fuera de horario.</w:t>
      </w:r>
    </w:p>
    <w:p>
      <w:pPr>
        <w:spacing w:before="140"/>
      </w:pPr>
      <w:r>
        <w:rPr>
          <w:b/>
          <w:color w:val="2E74B5"/>
          <w:sz w:val="22"/>
        </w:rPr>
        <w:t>Paso 3B — Parches CON reinicio de servicio</w:t>
      </w:r>
    </w:p>
    <w:p>
      <w:pPr>
        <w:spacing w:after="40"/>
      </w:pPr>
      <w:r>
        <w:rPr>
          <w:sz w:val="22"/>
        </w:rPr>
        <w:t>Requieren ventana de mantenimiento planificada fuera del horario de mayor tráfico (ventana preferida: martes o miércoles entre 23:00 y 02:00 h, o según acuerdo con jefatura).</w:t>
      </w:r>
    </w:p>
    <w:p>
      <w:pPr>
        <w:spacing w:after="40"/>
      </w:pPr>
      <w:r>
        <w:rPr>
          <w:sz w:val="22"/>
        </w:rPr>
        <w:t>• Gerencia TI solicita aprobación de la jefatura correspondiente con al menos 48 horas de anticipación (72 h para sistemas críticos como ERP o pasarela de pago).</w:t>
      </w:r>
    </w:p>
    <w:p>
      <w:pPr>
        <w:spacing w:after="40"/>
      </w:pPr>
      <w:r>
        <w:rPr>
          <w:sz w:val="22"/>
        </w:rPr>
        <w:t>• Se aplica primero en ambiente de pruebas con un reinicio completo y verificación de servicios.</w:t>
      </w:r>
    </w:p>
    <w:p>
      <w:pPr>
        <w:spacing w:after="40"/>
      </w:pPr>
      <w:r>
        <w:rPr>
          <w:sz w:val="22"/>
        </w:rPr>
        <w:t>• Se prepara el procedimiento de rollback (PROC-SGSI-03) antes de iniciar la ventana de producción.</w:t>
      </w:r>
    </w:p>
    <w:p>
      <w:pPr>
        <w:spacing w:after="40"/>
      </w:pPr>
      <w:r>
        <w:rPr>
          <w:sz w:val="22"/>
        </w:rPr>
        <w:t>• Durante la ventana: aplicar parche → reiniciar → verificar servicios → confirmar o ejecutar rollback.</w:t>
      </w:r>
    </w:p>
    <w:p>
      <w:pPr>
        <w:spacing w:after="40"/>
      </w:pPr>
      <w:r>
        <w:rPr>
          <w:sz w:val="22"/>
        </w:rPr>
        <w:t>• Se notifica a los usuarios con al menos 24 h de anticipación indicando duración estimada del corte.</w:t>
      </w:r>
    </w:p>
    <w:p>
      <w:pPr>
        <w:spacing w:after="40"/>
      </w:pPr>
      <w:r>
        <w:rPr>
          <w:sz w:val="22"/>
        </w:rPr>
        <w:t>• Se registra en el ticket ITSM: hora de inicio, hora de fin, resultado de verificación post-reinicio.</w:t>
      </w:r>
    </w:p>
    <w:p>
      <w:pPr>
        <w:spacing w:before="140"/>
      </w:pPr>
      <w:r>
        <w:rPr>
          <w:b/>
          <w:color w:val="2E74B5"/>
          <w:sz w:val="22"/>
        </w:rPr>
        <w:t>Paso 4 — Verificación post-parcheo</w:t>
      </w:r>
    </w:p>
    <w:p>
      <w:pPr>
        <w:spacing w:after="40"/>
      </w:pPr>
      <w:r>
        <w:rPr>
          <w:sz w:val="22"/>
        </w:rPr>
        <w:t>• Ejecutar pruebas funcionales básicas sobre el sistema parcheado (checklist por tipo de sistema).</w:t>
      </w:r>
    </w:p>
    <w:p>
      <w:pPr>
        <w:spacing w:after="40"/>
      </w:pPr>
      <w:r>
        <w:rPr>
          <w:sz w:val="22"/>
        </w:rPr>
        <w:t>• Verificar que los agentes de monitoreo y antivirus siguen activos.</w:t>
      </w:r>
    </w:p>
    <w:p>
      <w:pPr>
        <w:spacing w:after="40"/>
      </w:pPr>
      <w:r>
        <w:rPr>
          <w:sz w:val="22"/>
        </w:rPr>
        <w:t>• Confirmar que los logs de auditoría se siguen generando correctamente.</w:t>
      </w:r>
    </w:p>
    <w:p>
      <w:pPr>
        <w:spacing w:after="40"/>
      </w:pPr>
      <w:r>
        <w:rPr>
          <w:sz w:val="22"/>
        </w:rPr>
        <w:t>• Cerrar el ticket ITSM con estado "Completado" o "Fallido + rollback".</w:t>
      </w:r>
    </w:p>
    <w:p>
      <w:pPr>
        <w:spacing w:before="140"/>
      </w:pPr>
      <w:r>
        <w:rPr>
          <w:b/>
          <w:color w:val="2E74B5"/>
          <w:sz w:val="22"/>
        </w:rPr>
        <w:t>Paso 5 — Excepciones y sistemas no parcheables</w:t>
      </w:r>
    </w:p>
    <w:p>
      <w:pPr>
        <w:spacing w:after="40"/>
      </w:pPr>
      <w:r>
        <w:rPr>
          <w:sz w:val="22"/>
        </w:rPr>
        <w:t>Si un sistema no puede parchearse dentro del SLA (dependencia de proveedor, incompatibilidad crítica), el CISO documenta la excepción con:</w:t>
      </w:r>
    </w:p>
    <w:p>
      <w:pPr>
        <w:spacing w:after="40"/>
      </w:pPr>
      <w:r>
        <w:rPr>
          <w:sz w:val="22"/>
        </w:rPr>
        <w:t>• Justificación técnica</w:t>
      </w:r>
    </w:p>
    <w:p>
      <w:pPr>
        <w:spacing w:after="40"/>
      </w:pPr>
      <w:r>
        <w:rPr>
          <w:sz w:val="22"/>
        </w:rPr>
        <w:t>• Controles compensatorios aplicados (segmentación, monitoreo reforzado)</w:t>
      </w:r>
    </w:p>
    <w:p>
      <w:pPr>
        <w:spacing w:after="40"/>
      </w:pPr>
      <w:r>
        <w:rPr>
          <w:sz w:val="22"/>
        </w:rPr>
        <w:t>• Fecha máxima estimada de resolución</w:t>
      </w:r>
    </w:p>
    <w:p>
      <w:pPr>
        <w:spacing w:after="40"/>
      </w:pPr>
      <w:r>
        <w:rPr>
          <w:sz w:val="22"/>
        </w:rPr>
        <w:t>Las excepciones activas se revisan mensualmente en el informe de cumplimiento de parcheo.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Inventario de parches disponibles (hoja de seguimiento ITSM)</w:t>
      </w:r>
    </w:p>
    <w:p>
      <w:pPr>
        <w:spacing w:after="40"/>
      </w:pPr>
      <w:r>
        <w:rPr>
          <w:sz w:val="22"/>
        </w:rPr>
        <w:t>• Tickets de parcheo con evidencia antes/después (captura de versión, logs)</w:t>
      </w:r>
    </w:p>
    <w:p>
      <w:pPr>
        <w:spacing w:after="40"/>
      </w:pPr>
      <w:r>
        <w:rPr>
          <w:sz w:val="22"/>
        </w:rPr>
        <w:t>• Actas de aprobación de ventanas de mantenimiento</w:t>
      </w:r>
    </w:p>
    <w:p>
      <w:pPr>
        <w:spacing w:after="40"/>
      </w:pPr>
      <w:r>
        <w:rPr>
          <w:sz w:val="22"/>
        </w:rPr>
        <w:t>• Informe mensual de cumplimiento de SLA de parcheo (para CISO)</w:t>
      </w:r>
    </w:p>
    <w:p>
      <w:pPr>
        <w:spacing w:after="40"/>
      </w:pPr>
      <w:r>
        <w:rPr>
          <w:sz w:val="22"/>
        </w:rPr>
        <w:t>• Registro de excepciones activas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POL-SGSI-05 — Gestión de parches y actualizaciones</w:t>
      </w:r>
    </w:p>
    <w:p>
      <w:pPr>
        <w:spacing w:after="40"/>
      </w:pPr>
      <w:r>
        <w:rPr>
          <w:sz w:val="22"/>
        </w:rPr>
        <w:t>• PROC-SGSI-03 — Procedimiento de rollback</w:t>
      </w:r>
    </w:p>
    <w:p>
      <w:pPr>
        <w:spacing w:after="40"/>
      </w:pPr>
      <w:r>
        <w:rPr>
          <w:sz w:val="22"/>
        </w:rPr>
        <w:t>• PROC-SGSI-04 — Procedimiento de línea base de software</w:t>
      </w:r>
    </w:p>
    <w:p>
      <w:pPr>
        <w:spacing w:after="40"/>
      </w:pPr>
      <w:r>
        <w:rPr>
          <w:sz w:val="22"/>
        </w:rPr>
        <w:t>• SoA – controles 8.8, 8.19 (ISO/IEC 27001:2022)</w:t>
      </w:r>
    </w:p>
    <w:p>
      <w:pPr>
        <w:spacing w:after="40"/>
      </w:pPr>
      <w:r>
        <w:rPr>
          <w:sz w:val="22"/>
        </w:rPr>
        <w:t>• Matriz de riesgos (R-04, R-09, R-15)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2D670C-D4ED-4AC7-BD09-20C3CB2F5047}"/>
</file>

<file path=customXml/itemProps3.xml><?xml version="1.0" encoding="utf-8"?>
<ds:datastoreItem xmlns:ds="http://schemas.openxmlformats.org/officeDocument/2006/customXml" ds:itemID="{3DB8FE3E-2117-4565-8815-3798DC1853EA}"/>
</file>

<file path=customXml/itemProps4.xml><?xml version="1.0" encoding="utf-8"?>
<ds:datastoreItem xmlns:ds="http://schemas.openxmlformats.org/officeDocument/2006/customXml" ds:itemID="{1050C632-3ED8-4EA1-BABB-61820F9C4A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