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PROCEDIMIENTOS DEL SISTEMA DE GESTIÓN DE SEGURIDAD DE LA INFORMACIÓN</w:t>
      </w:r>
    </w:p>
    <w:p>
      <w:pPr>
        <w:jc w:val="center"/>
      </w:pPr>
      <w:r>
        <w:rPr>
          <w:b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PROC-SGSI-06 — Procedimiento de alta, modificación y baja de accesos</w:t>
      </w:r>
    </w:p>
    <w:p>
      <w:pPr>
        <w:jc w:val="center"/>
      </w:pPr>
      <w:r>
        <w:rPr>
          <w:i/>
        </w:rPr>
        <w:t>Procedimiento operativo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PROC-SGSI-06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Políticas 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POL-SGSI-01 — Control de acceso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Definir los pasos operativos para el otorgamiento, modificación y revocación de accesos lógicos a los sistemas de NovaRetail SpA, garantizando la trazabilidad completa del ciclo de vida de cada acceso y el cumplimiento del principio de mínimo privilegio establecido en POL-SGSI-01.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todos los sistemas de información de NovaRetail SpA que requieran credenciales de acceso: portal e-commerce, ERP, bases de datos, correo corporativo (M365), VPN, pasarela de pago y consolas de administración de infraestructura. Incluye empleados de planta, contratistas y cuentas de servicio.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Aprueba altas y modificaciones de perfiles con privilegios elevados. Supervisa el proceso.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Ejecuta técnicamente el alta, modificación y baja de accesos en los sistemas.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Jefatura solicitante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Aprueba la solicitud de acceso para su equipo y valida que el perfil es el mínimo necesario.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RRHH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Notifica a Gerencia TI y CISO el inicio y término de toda relación laboral o contractual.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Usuario solicitante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Puede iniciar la solicitud para sí mismo o para su equipo, justificando la necesidad.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Descripción del procedimiento</w:t>
      </w:r>
    </w:p>
    <w:p>
      <w:pPr>
        <w:spacing w:before="140"/>
      </w:pPr>
      <w:r>
        <w:rPr>
          <w:b/>
          <w:color w:val="2E74B5"/>
          <w:sz w:val="22"/>
        </w:rPr>
        <w:t>PROCESO A — Alta de acceso (nuevo usuario o nuevo sistema)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5102"/>
        <w:gridCol w:w="3118"/>
      </w:tblGrid>
      <w:tr>
        <w:tc>
          <w:tcPr>
            <w:tcW w:type="dxa" w:w="85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510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311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RRHH notifica el ingreso del nuevo empleado/contratista a Gerencia TI y CISO con al menos 24 h de anticipación, indicando: nombre, cargo, área y fecha de inicio.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RRHH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La jefatura directa completa el Formulario de Solicitud de Acceso (FSA-01) indicando: sistemas requeridos, nivel de privilegio solicitado y justificación de negocio.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Jefatura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El CISO revisa y aprueba el FSA-01. Para perfiles estándar: aprobación automática por jefatura. Para perfiles con privilegios elevados: aprobación explícita del CISO obligatoria.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CISO / Jefatura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Gerencia TI crea la cuenta en el directorio activo, asigna los grupos y perfiles correspondientes, configura MFA y activa la cuenta.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Gerencia TI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Gerencia TI comunica al usuario sus credenciales temporales por canal seguro (nunca por correo en texto plano). El usuario debe cambiar la contraseña en el primer inicio de sesión.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Gerencia TI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Gerencia TI registra el alta en el Inventario de Accesos con: usuario, sistemas, perfil, fecha y número de ticket ITSM.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Gerencia TI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El usuario confirma por escrito haber recibido acceso y haber leído la Política de Control de Acceso (POL-SGSI-01).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Usuario</w:t>
            </w:r>
          </w:p>
        </w:tc>
      </w:tr>
    </w:tbl>
    <w:p>
      <w:pPr>
        <w:spacing w:before="140"/>
      </w:pPr>
      <w:r>
        <w:rPr>
          <w:b/>
          <w:color w:val="2E74B5"/>
          <w:sz w:val="22"/>
        </w:rPr>
        <w:t>PROCESO B — Modificación de acceso (cambio de rol, área o cargo)</w:t>
      </w:r>
    </w:p>
    <w:p>
      <w:pPr>
        <w:spacing w:after="40"/>
      </w:pPr>
      <w:r>
        <w:rPr>
          <w:sz w:val="22"/>
        </w:rPr>
        <w:t>• La jefatura o RRHH notifica el cambio a Gerencia TI mediante ticket ITSM dentro de las 24 horas de producido el cambio.</w:t>
      </w:r>
    </w:p>
    <w:p>
      <w:pPr>
        <w:spacing w:after="40"/>
      </w:pPr>
      <w:r>
        <w:rPr>
          <w:sz w:val="22"/>
        </w:rPr>
        <w:t>• Gerencia TI revisa los accesos actuales del usuario e identifica qué perfiles deben modificarse (agregados o revocados).</w:t>
      </w:r>
    </w:p>
    <w:p>
      <w:pPr>
        <w:spacing w:after="40"/>
      </w:pPr>
      <w:r>
        <w:rPr>
          <w:sz w:val="22"/>
        </w:rPr>
        <w:t>• Para accesos adicionales: se sigue el Proceso A desde el paso 2.</w:t>
      </w:r>
    </w:p>
    <w:p>
      <w:pPr>
        <w:spacing w:after="40"/>
      </w:pPr>
      <w:r>
        <w:rPr>
          <w:sz w:val="22"/>
        </w:rPr>
        <w:t>• Para accesos que ya no corresponden: se revocan en un plazo máximo de 48 horas hábiles desde la notificación.</w:t>
      </w:r>
    </w:p>
    <w:p>
      <w:pPr>
        <w:spacing w:after="40"/>
      </w:pPr>
      <w:r>
        <w:rPr>
          <w:sz w:val="22"/>
        </w:rPr>
        <w:t>• Se actualiza el Inventario de Accesos con el cambio efectuado y el número de ticket.</w:t>
      </w:r>
    </w:p>
    <w:p>
      <w:pPr>
        <w:spacing w:before="140"/>
      </w:pPr>
      <w:r>
        <w:rPr>
          <w:b/>
          <w:color w:val="2E74B5"/>
          <w:sz w:val="22"/>
        </w:rPr>
        <w:t>PROCESO C — Baja de acceso (desvinculación o fin de contrato)</w:t>
      </w:r>
    </w:p>
    <w:p>
      <w:pPr>
        <w:spacing w:after="40"/>
      </w:pPr>
      <w:r>
        <w:rPr>
          <w:sz w:val="22"/>
        </w:rPr>
        <w:t>Es el proceso más crítico desde el punto de vista de seguridad. Los plazos son estrictos: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3118"/>
        <w:gridCol w:w="3118"/>
      </w:tblGrid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Tipo de desvinculación</w:t>
            </w:r>
          </w:p>
        </w:tc>
        <w:tc>
          <w:tcPr>
            <w:tcW w:type="dxa" w:w="311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Plazo revocación</w:t>
            </w:r>
          </w:p>
        </w:tc>
        <w:tc>
          <w:tcPr>
            <w:tcW w:type="dxa" w:w="311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Acción adicional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Renuncia / término de contrato programado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Mismo día hábil de la desvinculación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Gerencia TI desactiva cuenta al inicio de la jornada del último día.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Despido inmediato / causa grave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Dentro de 1 hora de la notificación de RRHH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CISO es notificado; se revisan logs del usuario en las últimas 72 h.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Fin de contrato de proveedor / tercero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Dentro de 4 horas de la notificación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Se revocan accesos VPN, cuentas y tokens de integración del proveedor.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Cuenta de servicio huérfana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Dentro de 24 horas de identificada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Se elimina o reasigna con justificación documentada.</w:t>
            </w:r>
          </w:p>
        </w:tc>
      </w:tr>
    </w:tbl>
    <w:p/>
    <w:p>
      <w:pPr>
        <w:spacing w:after="40"/>
      </w:pPr>
      <w:r>
        <w:rPr>
          <w:sz w:val="22"/>
        </w:rPr>
        <w:t>• RRHH es responsable de notificar a Gerencia TI y CISO el mismo día que se comunica la desvinculación, antes de que el empleado sea informado en casos de despido.</w:t>
      </w:r>
    </w:p>
    <w:p>
      <w:pPr>
        <w:spacing w:after="40"/>
      </w:pPr>
      <w:r>
        <w:rPr>
          <w:sz w:val="22"/>
        </w:rPr>
        <w:t>• Gerencia TI desactiva la cuenta (no la elimina) y la mantiene bloqueada 90 días para fines de auditoría forense, luego la elimina.</w:t>
      </w:r>
    </w:p>
    <w:p>
      <w:pPr>
        <w:spacing w:after="40"/>
      </w:pPr>
      <w:r>
        <w:rPr>
          <w:sz w:val="22"/>
        </w:rPr>
        <w:t>• Se revoca el acceso a: directorio activo, correo, VPN, ERP, sistemas de pago y cualquier aplicación corporativa.</w:t>
      </w:r>
    </w:p>
    <w:p>
      <w:pPr>
        <w:spacing w:after="40"/>
      </w:pPr>
      <w:r>
        <w:rPr>
          <w:sz w:val="22"/>
        </w:rPr>
        <w:t>• Se registra la baja en el Inventario de Accesos con fecha, motivo y quién autorizó.</w:t>
      </w:r>
    </w:p>
    <w:p>
      <w:pPr>
        <w:spacing w:before="140"/>
      </w:pPr>
      <w:r>
        <w:rPr>
          <w:b/>
          <w:color w:val="2E74B5"/>
          <w:sz w:val="22"/>
        </w:rPr>
        <w:t>Formulario FSA-01 — Solicitud de acceso (campos requeridos)</w:t>
      </w:r>
    </w:p>
    <w:p>
      <w:pPr>
        <w:spacing w:after="40"/>
      </w:pPr>
      <w:r>
        <w:rPr>
          <w:sz w:val="22"/>
        </w:rPr>
        <w:t>• Nombre completo del usuario</w:t>
      </w:r>
    </w:p>
    <w:p>
      <w:pPr>
        <w:spacing w:after="40"/>
      </w:pPr>
      <w:r>
        <w:rPr>
          <w:sz w:val="22"/>
        </w:rPr>
        <w:t>• RUT / identificador</w:t>
      </w:r>
    </w:p>
    <w:p>
      <w:pPr>
        <w:spacing w:after="40"/>
      </w:pPr>
      <w:r>
        <w:rPr>
          <w:sz w:val="22"/>
        </w:rPr>
        <w:t>• Cargo y área</w:t>
      </w:r>
    </w:p>
    <w:p>
      <w:pPr>
        <w:spacing w:after="40"/>
      </w:pPr>
      <w:r>
        <w:rPr>
          <w:sz w:val="22"/>
        </w:rPr>
        <w:t>• Fecha de inicio (para altas) o de término (para bajas)</w:t>
      </w:r>
    </w:p>
    <w:p>
      <w:pPr>
        <w:spacing w:after="40"/>
      </w:pPr>
      <w:r>
        <w:rPr>
          <w:sz w:val="22"/>
        </w:rPr>
        <w:t>• Sistema(s) a los que se solicita acceso</w:t>
      </w:r>
    </w:p>
    <w:p>
      <w:pPr>
        <w:spacing w:after="40"/>
      </w:pPr>
      <w:r>
        <w:rPr>
          <w:sz w:val="22"/>
        </w:rPr>
        <w:t>• Nivel de privilegio requerido (lectura / escritura / administrador)</w:t>
      </w:r>
    </w:p>
    <w:p>
      <w:pPr>
        <w:spacing w:after="40"/>
      </w:pPr>
      <w:r>
        <w:rPr>
          <w:sz w:val="22"/>
        </w:rPr>
        <w:t>• Justificación de negocio</w:t>
      </w:r>
    </w:p>
    <w:p>
      <w:pPr>
        <w:spacing w:after="40"/>
      </w:pPr>
      <w:r>
        <w:rPr>
          <w:sz w:val="22"/>
        </w:rPr>
        <w:t>• Aprobación de jefatura directa (firma)</w:t>
      </w:r>
    </w:p>
    <w:p>
      <w:pPr>
        <w:spacing w:after="40"/>
      </w:pPr>
      <w:r>
        <w:rPr>
          <w:sz w:val="22"/>
        </w:rPr>
        <w:t>• Aprobación del CISO (para perfiles elevados)</w:t>
      </w:r>
    </w:p>
    <w:p>
      <w:pPr>
        <w:spacing w:after="40"/>
      </w:pPr>
      <w:r>
        <w:rPr>
          <w:sz w:val="22"/>
        </w:rPr>
        <w:t>• Número de ticket ITSM</w:t>
      </w:r>
    </w:p>
    <w:p>
      <w:pPr>
        <w:spacing w:before="200" w:after="80"/>
      </w:pPr>
      <w:r>
        <w:rPr>
          <w:b/>
          <w:color w:val="1F3864"/>
          <w:sz w:val="26"/>
        </w:rPr>
        <w:t>6. Registros y evidencias</w:t>
      </w:r>
    </w:p>
    <w:p>
      <w:pPr>
        <w:spacing w:after="40"/>
      </w:pPr>
      <w:r>
        <w:rPr>
          <w:sz w:val="22"/>
        </w:rPr>
        <w:t>• Formulario FSA-01 firmado por cada solicitud (retención: vigencia + 2 años)</w:t>
      </w:r>
    </w:p>
    <w:p>
      <w:pPr>
        <w:spacing w:after="40"/>
      </w:pPr>
      <w:r>
        <w:rPr>
          <w:sz w:val="22"/>
        </w:rPr>
        <w:t>• Inventario de Accesos actualizado (hoja maestra en Gerencia TI)</w:t>
      </w:r>
    </w:p>
    <w:p>
      <w:pPr>
        <w:spacing w:after="40"/>
      </w:pPr>
      <w:r>
        <w:rPr>
          <w:sz w:val="22"/>
        </w:rPr>
        <w:t>• Tickets ITSM de alta, modificación y baja</w:t>
      </w:r>
    </w:p>
    <w:p>
      <w:pPr>
        <w:spacing w:after="40"/>
      </w:pPr>
      <w:r>
        <w:rPr>
          <w:sz w:val="22"/>
        </w:rPr>
        <w:t>• Confirmación firmada del usuario de haber recibido el acceso y leído POL-SGSI-01</w:t>
      </w:r>
    </w:p>
    <w:p>
      <w:pPr>
        <w:spacing w:after="40"/>
      </w:pPr>
      <w:r>
        <w:rPr>
          <w:sz w:val="22"/>
        </w:rPr>
        <w:t>• Logs del directorio activo con timestamp de activación/desactivación de cuentas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pPr>
        <w:spacing w:after="40"/>
      </w:pPr>
      <w:r>
        <w:rPr>
          <w:sz w:val="22"/>
        </w:rPr>
        <w:t>• POL-SGSI-01 — Política de control de acceso</w:t>
      </w:r>
    </w:p>
    <w:p>
      <w:pPr>
        <w:spacing w:after="40"/>
      </w:pPr>
      <w:r>
        <w:rPr>
          <w:sz w:val="22"/>
        </w:rPr>
        <w:t>• PROC-SGSI-07 — Procedimiento de revisión periódica de accesos</w:t>
      </w:r>
    </w:p>
    <w:p>
      <w:pPr>
        <w:spacing w:after="40"/>
      </w:pPr>
      <w:r>
        <w:rPr>
          <w:sz w:val="22"/>
        </w:rPr>
        <w:t>• POL-SGSI-14 — Política de contratación y desvinculación</w:t>
      </w:r>
    </w:p>
    <w:p>
      <w:pPr>
        <w:spacing w:after="40"/>
      </w:pPr>
      <w:r>
        <w:rPr>
          <w:sz w:val="22"/>
        </w:rPr>
        <w:t>• SoA – controles 5.15, 5.16, 5.18 (ISO/IEC 27001:2022)</w:t>
      </w:r>
    </w:p>
    <w:p>
      <w:pPr>
        <w:spacing w:after="40"/>
      </w:pPr>
      <w:r>
        <w:rPr>
          <w:sz w:val="22"/>
        </w:rPr>
        <w:t>• Matriz de riesgos (R-01, R-07, R-12)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46C4FE-CAB1-4FCF-BEAB-9A152DEDC8A1}"/>
</file>

<file path=customXml/itemProps3.xml><?xml version="1.0" encoding="utf-8"?>
<ds:datastoreItem xmlns:ds="http://schemas.openxmlformats.org/officeDocument/2006/customXml" ds:itemID="{F45B83FC-71E1-4E7F-84EF-E0A71C471714}"/>
</file>

<file path=customXml/itemProps4.xml><?xml version="1.0" encoding="utf-8"?>
<ds:datastoreItem xmlns:ds="http://schemas.openxmlformats.org/officeDocument/2006/customXml" ds:itemID="{74C9E372-D523-439A-A923-9EA689DB16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