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PROC-SGSI-07 — Procedimiento de revisión periódica de accesos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POL-SGSI-01 — Control de acceso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el proceso semestral de revisión y validación de todos los perfiles de acceso activos en los sistemas de NovaRetail SpA, asegurando que los accesos otorgados sigan siendo necesarios y apropiados para las funciones actuales de cada usuario, y revocando los que no sean revalidados.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Todos los accesos activos a sistemas de información de NovaRetail SpA: cuentas de usuario estándar, cuentas con privilegios elevados, cuentas de servicio y accesos de terceros/proveedores. La revisión se realiza dos veces al año (abril y octubre) y adicionalmente ante cambios organizacionales significativos.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Lidera la revisión, consolida resultados, revoca accesos no validados y presenta el informe al Comité de Seguridad.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Exporta el listado de accesos activos, ejecuta la revocación técnica y actualiza el Inventario de Accesos.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Validan los accesos de su equipo: confirman que cada acceso es necesario y apropiado, o solicitan su revocación.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Auditoría Interna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Puede observar el proceso para verificar su cumplimiento como parte de la auditoría anual del SGSI.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Preparación (semana -2)</w:t>
      </w:r>
    </w:p>
    <w:p>
      <w:pPr>
        <w:spacing w:after="40"/>
      </w:pPr>
      <w:r>
        <w:rPr>
          <w:sz w:val="22"/>
        </w:rPr>
        <w:t>• Gerencia TI exporta desde el directorio activo el listado completo de cuentas activas, agrupadas por área, con: usuario, cargo, sistema(s) accedido(s), perfil/grupo, fecha de última autenticación y fecha de alta.</w:t>
      </w:r>
    </w:p>
    <w:p>
      <w:pPr>
        <w:spacing w:after="40"/>
      </w:pPr>
      <w:r>
        <w:rPr>
          <w:sz w:val="22"/>
        </w:rPr>
        <w:t>• Se identifica automáticamente las cuentas inactivas (sin login en los últimos 60 días) y se marcan para revisión prioritaria.</w:t>
      </w:r>
    </w:p>
    <w:p>
      <w:pPr>
        <w:spacing w:after="40"/>
      </w:pPr>
      <w:r>
        <w:rPr>
          <w:sz w:val="22"/>
        </w:rPr>
        <w:t>• Se prepara el Formulario de Validación de Accesos (FVA-02) por área/jefatura, con una fila por usuario y columnas: Mantener / Modificar / Revocar + Observaciones.</w:t>
      </w:r>
    </w:p>
    <w:p>
      <w:pPr>
        <w:spacing w:after="40"/>
      </w:pPr>
      <w:r>
        <w:rPr>
          <w:sz w:val="22"/>
        </w:rPr>
        <w:t>• El CISO envía el FVA-02 a cada jefatura con 10 días hábiles de plazo para respuesta.</w:t>
      </w:r>
    </w:p>
    <w:p>
      <w:pPr>
        <w:spacing w:before="140"/>
      </w:pPr>
      <w:r>
        <w:rPr>
          <w:b/>
          <w:color w:val="2E74B5"/>
          <w:sz w:val="22"/>
        </w:rPr>
        <w:t>Paso 2 — Validación por jefaturas (semanas -2 a -1)</w:t>
      </w:r>
    </w:p>
    <w:p>
      <w:pPr>
        <w:spacing w:after="40"/>
      </w:pPr>
      <w:r>
        <w:rPr>
          <w:sz w:val="22"/>
        </w:rPr>
        <w:t>• Cada jefatura revisa el FVA-02 de su área y marca para cada usuario: Mantener / Modificar / Revocar.</w:t>
      </w:r>
    </w:p>
    <w:p>
      <w:pPr>
        <w:spacing w:after="40"/>
      </w:pPr>
      <w:r>
        <w:rPr>
          <w:sz w:val="22"/>
        </w:rPr>
        <w:t>• Para cuentas de inactivos: la jefatura debe justificar explícitamente si se mantiene el acceso.</w:t>
      </w:r>
    </w:p>
    <w:p>
      <w:pPr>
        <w:spacing w:after="40"/>
      </w:pPr>
      <w:r>
        <w:rPr>
          <w:sz w:val="22"/>
        </w:rPr>
        <w:t>• Para accesos con privilegios elevados: la jefatura debe confirmar la necesidad de negocio con descripción específica.</w:t>
      </w:r>
    </w:p>
    <w:p>
      <w:pPr>
        <w:spacing w:after="40"/>
      </w:pPr>
      <w:r>
        <w:rPr>
          <w:sz w:val="22"/>
        </w:rPr>
        <w:t>• El formulario completado se devuelve al CISO firmado dentro del plazo establecido.</w:t>
      </w:r>
    </w:p>
    <w:p>
      <w:pPr>
        <w:spacing w:after="40"/>
      </w:pPr>
      <w:r>
        <w:rPr>
          <w:sz w:val="22"/>
        </w:rPr>
        <w:t>• Si una jefatura no responde dentro del plazo, todos sus accesos se marcan para revisión directa del CISO y se considera un incumplimiento a registrar.</w:t>
      </w:r>
    </w:p>
    <w:p>
      <w:pPr>
        <w:spacing w:before="140"/>
      </w:pPr>
      <w:r>
        <w:rPr>
          <w:b/>
          <w:color w:val="2E74B5"/>
          <w:sz w:val="22"/>
        </w:rPr>
        <w:t>Paso 3 — Revisión de cuentas privilegiadas y de terceros (semana -1)</w:t>
      </w:r>
    </w:p>
    <w:p>
      <w:pPr>
        <w:spacing w:after="40"/>
      </w:pPr>
      <w:r>
        <w:rPr>
          <w:sz w:val="22"/>
        </w:rPr>
        <w:t>• El CISO revisa personalmente todas las cuentas de administrador de dominio, DBA, root y cuentas de servicio, independientemente de la validación de jefatura.</w:t>
      </w:r>
    </w:p>
    <w:p>
      <w:pPr>
        <w:spacing w:after="40"/>
      </w:pPr>
      <w:r>
        <w:rPr>
          <w:sz w:val="22"/>
        </w:rPr>
        <w:t>• Los accesos de proveedores/terceros son revisados por el CISO y Adquisiciones: se verifica que el contrato siga vigente y que el acceso aún sea necesario.</w:t>
      </w:r>
    </w:p>
    <w:p>
      <w:pPr>
        <w:spacing w:after="40"/>
      </w:pPr>
      <w:r>
        <w:rPr>
          <w:sz w:val="22"/>
        </w:rPr>
        <w:t>• Toda cuenta de proveedor con contrato vencido se revoca de inmediato, sin esperar la validación semestral.</w:t>
      </w:r>
    </w:p>
    <w:p>
      <w:pPr>
        <w:spacing w:before="140"/>
      </w:pPr>
      <w:r>
        <w:rPr>
          <w:b/>
          <w:color w:val="2E74B5"/>
          <w:sz w:val="22"/>
        </w:rPr>
        <w:t>Paso 4 — Ejecución de cambios (semana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835"/>
        <w:gridCol w:w="3969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Resultado de revisión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de ejecución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Mantener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Sin acción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 registra la validación en el FVA-02 firmado.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Modificar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Gerencia TI ajusta el perfil según indicación de la jefatura.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Revocar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24 horas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Gerencia TI desactiva la cuenta. Se notifica al usuario.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Sin respuesta de jefatura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CISO decide mantener o revocar. Se registra la anomalía.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5 — Informe y cierre</w:t>
      </w:r>
    </w:p>
    <w:p>
      <w:pPr>
        <w:spacing w:after="40"/>
      </w:pPr>
      <w:r>
        <w:rPr>
          <w:sz w:val="22"/>
        </w:rPr>
        <w:t>• El CISO elabora el Informe de Revisión de Accesos con: total de cuentas revisadas, cuentas mantenidas, modificadas y revocadas, jefaturas que no respondieron, hallazgos de acceso excesivo o inapropiado.</w:t>
      </w:r>
    </w:p>
    <w:p>
      <w:pPr>
        <w:spacing w:after="40"/>
      </w:pPr>
      <w:r>
        <w:rPr>
          <w:sz w:val="22"/>
        </w:rPr>
        <w:t>• El informe se presenta al Comité de Seguridad dentro de los 5 días hábiles posteriores al cierre.</w:t>
      </w:r>
    </w:p>
    <w:p>
      <w:pPr>
        <w:spacing w:after="40"/>
      </w:pPr>
      <w:r>
        <w:rPr>
          <w:sz w:val="22"/>
        </w:rPr>
        <w:t>• Los hallazgos relevantes se incorporan al Plan de Tratamiento de Riesgos del SGSI.</w:t>
      </w:r>
    </w:p>
    <w:p>
      <w:pPr>
        <w:spacing w:after="40"/>
      </w:pPr>
      <w:r>
        <w:rPr>
          <w:sz w:val="22"/>
        </w:rPr>
        <w:t>• Todos los FVA-02 firmados y el informe se archivan con retención mínima de 3 años.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Formularios FVA-02 por área, firmados por jefatura (retención 3 años)</w:t>
      </w:r>
    </w:p>
    <w:p>
      <w:pPr>
        <w:spacing w:after="40"/>
      </w:pPr>
      <w:r>
        <w:rPr>
          <w:sz w:val="22"/>
        </w:rPr>
        <w:t>• Informe semestral de revisión de accesos presentado al Comité</w:t>
      </w:r>
    </w:p>
    <w:p>
      <w:pPr>
        <w:spacing w:after="40"/>
      </w:pPr>
      <w:r>
        <w:rPr>
          <w:sz w:val="22"/>
        </w:rPr>
        <w:t>• Tickets ITSM de revocaciones y modificaciones ejecutadas</w:t>
      </w:r>
    </w:p>
    <w:p>
      <w:pPr>
        <w:spacing w:after="40"/>
      </w:pPr>
      <w:r>
        <w:rPr>
          <w:sz w:val="22"/>
        </w:rPr>
        <w:t>• Exportación del directorio activo usada como base (con fecha y firma del DBA)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PROC-SGSI-06 — Procedimiento de alta, modificación y baja de accesos</w:t>
      </w:r>
    </w:p>
    <w:p>
      <w:pPr>
        <w:spacing w:after="40"/>
      </w:pPr>
      <w:r>
        <w:rPr>
          <w:sz w:val="22"/>
        </w:rPr>
        <w:t>• SoA – controles 5.15, 5.16, 5.18 (ISO/IEC 27001:2022)</w:t>
      </w:r>
    </w:p>
    <w:p>
      <w:pPr>
        <w:spacing w:after="40"/>
      </w:pPr>
      <w:r>
        <w:rPr>
          <w:sz w:val="22"/>
        </w:rPr>
        <w:t>• Matriz de riesgos (R-01, R-07, R-10, R-12)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78DED2-2D15-445C-A2D4-94566000C3B6}"/>
</file>

<file path=customXml/itemProps3.xml><?xml version="1.0" encoding="utf-8"?>
<ds:datastoreItem xmlns:ds="http://schemas.openxmlformats.org/officeDocument/2006/customXml" ds:itemID="{1128F3BA-54DF-45B2-8B6C-761A7C59852E}"/>
</file>

<file path=customXml/itemProps4.xml><?xml version="1.0" encoding="utf-8"?>
<ds:datastoreItem xmlns:ds="http://schemas.openxmlformats.org/officeDocument/2006/customXml" ds:itemID="{393B1424-8BF0-421C-9546-51D667AF0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