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PROCEDIMIENTOS DEL SISTEMA DE GESTIÓN DE SEGURIDAD DE LA INFORMACIÓN</w:t>
      </w:r>
    </w:p>
    <w:p>
      <w:pPr>
        <w:jc w:val="center"/>
      </w:pPr>
      <w:r>
        <w:rPr>
          <w:b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PROC-SGSI-08 — Procedimiento de uso del gestor corporativo de contraseñas</w:t>
      </w:r>
    </w:p>
    <w:p>
      <w:pPr>
        <w:jc w:val="center"/>
      </w:pPr>
      <w:r>
        <w:rPr>
          <w:i/>
        </w:rPr>
        <w:t>Procedimiento operativo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PROC-SGSI-08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Políticas 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POL-SGSI-02 — Gestión de contraseñas y autenticación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Estandarizar el uso de Bitwarden Business como gestor corporativo de contraseñas y único repositorio autorizado para el almacenamiento de credenciales de sistemas de NovaRetail SpA, eliminando el uso de planillas, correos y notas físicas para la custodia de contraseñas, conforme a POL-SGSI-02.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todas las credenciales corporativas: cuentas de usuario, cuentas de servicio, contraseñas de administrador, tokens de API, llaves SSH y secretos de integración. Alcanza a todos los empleados, contratistas y Gerencia TI.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Aprueba la herramienta de gestor autorizada y los permisos de las bóvedas compartidas.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Administra el servidor/licencia del gestor, onboarding de usuarios y bóvedas de equipo.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Todos los usuarios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Usan el gestor para todas las credenciales corporativas. No almacenan contraseñas fuera del gestor.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Descripción del procedimiento</w:t>
      </w:r>
    </w:p>
    <w:p>
      <w:pPr>
        <w:spacing w:before="140"/>
      </w:pPr>
      <w:r>
        <w:rPr>
          <w:b/>
          <w:color w:val="2E74B5"/>
          <w:sz w:val="22"/>
        </w:rPr>
        <w:t>Paso 1 — Alta de usuario en el gestor</w:t>
      </w:r>
    </w:p>
    <w:p>
      <w:pPr>
        <w:spacing w:after="40"/>
      </w:pPr>
      <w:r>
        <w:rPr>
          <w:sz w:val="22"/>
        </w:rPr>
        <w:t>• Cuando un nuevo empleado ingresa (ver PROC-SGSI-06), Gerencia TI crea su cuenta en Bitwarden Business y le asigna las bóvedas compartidas correspondientes a su área.</w:t>
      </w:r>
    </w:p>
    <w:p>
      <w:pPr>
        <w:spacing w:after="40"/>
      </w:pPr>
      <w:r>
        <w:rPr>
          <w:sz w:val="22"/>
        </w:rPr>
        <w:t>• Se entrega al usuario una guía de uso rápido y se registra en el sistema de capacitación que recibió la inducción al gestor.</w:t>
      </w:r>
    </w:p>
    <w:p>
      <w:pPr>
        <w:spacing w:after="40"/>
      </w:pPr>
      <w:r>
        <w:rPr>
          <w:sz w:val="22"/>
        </w:rPr>
        <w:t>• La cuenta maestra de Bitwarden Business se protege con MFA (aplicación autenticadora, no SMS).</w:t>
      </w:r>
    </w:p>
    <w:p>
      <w:pPr>
        <w:spacing w:before="140"/>
      </w:pPr>
      <w:r>
        <w:rPr>
          <w:b/>
          <w:color w:val="2E74B5"/>
          <w:sz w:val="22"/>
        </w:rPr>
        <w:t>Paso 2 — Estructura de bóvedas</w:t>
      </w:r>
    </w:p>
    <w:p>
      <w:pPr>
        <w:spacing w:after="40"/>
      </w:pPr>
      <w:r>
        <w:rPr>
          <w:sz w:val="22"/>
        </w:rPr>
        <w:t>El gestor se organiza en bóvedas por ámbito de acceso: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3402"/>
        <w:gridCol w:w="2835"/>
      </w:tblGrid>
      <w:tr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Bóveda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Acceso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Personal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Credenciales individuales del usuario (no corporativas)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Solo el usuario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Administración TI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Contraseñas de admin, root, DBA, cuentas de servicio, llaves SSH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Gerencia TI + CISO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Portal e-commerce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Credenciales de administración del portal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Gerencia TI + Jefe Desarrollo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ERP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Cuentas de administración del ERP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Gerencia TI + DBA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Proveedores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Credenciales de acceso a portales de proveedores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Adquisiciones + Gerencia TI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PCI / Pagos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Credenciales de la pasarela de pago y entornos PCI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Solo Gerencia TI + CISO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Paso 3 — Almacenamiento de nuevas credenciales</w:t>
      </w:r>
    </w:p>
    <w:p>
      <w:pPr>
        <w:spacing w:after="40"/>
      </w:pPr>
      <w:r>
        <w:rPr>
          <w:sz w:val="22"/>
        </w:rPr>
        <w:t>• Toda credencial nueva se ingresa al gestor inmediatamente tras su creación.</w:t>
      </w:r>
    </w:p>
    <w:p>
      <w:pPr>
        <w:spacing w:after="40"/>
      </w:pPr>
      <w:r>
        <w:rPr>
          <w:sz w:val="22"/>
        </w:rPr>
        <w:t>• Queda estrictamente prohibido almacenar contraseñas en: planillas Excel, correos, notas físicas, archivos de texto, navegadores o mensajes de chat.</w:t>
      </w:r>
    </w:p>
    <w:p>
      <w:pPr>
        <w:spacing w:after="40"/>
      </w:pPr>
      <w:r>
        <w:rPr>
          <w:sz w:val="22"/>
        </w:rPr>
        <w:t>• Para contraseñas generadas automáticamente: el gestor se usa para generar y guardar en un solo paso, evitando que la contraseña se visualice en texto plano en otro sistema.</w:t>
      </w:r>
    </w:p>
    <w:p>
      <w:pPr>
        <w:spacing w:after="40"/>
      </w:pPr>
      <w:r>
        <w:rPr>
          <w:sz w:val="22"/>
        </w:rPr>
        <w:t>• Las credenciales se nombran de forma descriptiva: [Sistema]-[Entorno]-[Propósito] (ej: ERP-Produccion-Admin).</w:t>
      </w:r>
    </w:p>
    <w:p>
      <w:pPr>
        <w:spacing w:before="140"/>
      </w:pPr>
      <w:r>
        <w:rPr>
          <w:b/>
          <w:color w:val="2E74B5"/>
          <w:sz w:val="22"/>
        </w:rPr>
        <w:t>Paso 4 — Compartir credenciales de equipo</w:t>
      </w:r>
    </w:p>
    <w:p>
      <w:pPr>
        <w:spacing w:after="40"/>
      </w:pPr>
      <w:r>
        <w:rPr>
          <w:sz w:val="22"/>
        </w:rPr>
        <w:t>• Las credenciales compartidas se almacenan en la bóveda de equipo correspondiente, nunca se envían por correo ni chat.</w:t>
      </w:r>
    </w:p>
    <w:p>
      <w:pPr>
        <w:spacing w:after="40"/>
      </w:pPr>
      <w:r>
        <w:rPr>
          <w:sz w:val="22"/>
        </w:rPr>
        <w:t>• El acceso a una bóveda compartida se gestiona mediante los grupos del gestor; agregar o eliminar a alguien de un grupo es equivalente a otorgar o revocar acceso a todas sus credenciales.</w:t>
      </w:r>
    </w:p>
    <w:p>
      <w:pPr>
        <w:spacing w:after="40"/>
      </w:pPr>
      <w:r>
        <w:rPr>
          <w:sz w:val="22"/>
        </w:rPr>
        <w:t>• Las credenciales con privilegios elevados (admin, root) solo se comparten en la bóveda "Administración TI", con log de cada acceso.</w:t>
      </w:r>
    </w:p>
    <w:p>
      <w:pPr>
        <w:spacing w:before="140"/>
      </w:pPr>
      <w:r>
        <w:rPr>
          <w:b/>
          <w:color w:val="2E74B5"/>
          <w:sz w:val="22"/>
        </w:rPr>
        <w:t>Paso 5 — Rotación de contraseñas</w:t>
      </w:r>
    </w:p>
    <w:p>
      <w:pPr>
        <w:spacing w:after="40"/>
      </w:pPr>
      <w:r>
        <w:rPr>
          <w:sz w:val="22"/>
        </w:rPr>
        <w:t>• El gestor alerta automáticamente cuando una contraseña supera el periodo de rotación definido en POL-SGSI-02 (cuentas de servicio: anual; cuentas privilegiadas: seis meses).</w:t>
      </w:r>
    </w:p>
    <w:p>
      <w:pPr>
        <w:spacing w:after="40"/>
      </w:pPr>
      <w:r>
        <w:rPr>
          <w:sz w:val="22"/>
        </w:rPr>
        <w:t>• En caso de sospecha de compromiso, el usuario o Gerencia TI rota la contraseña de inmediato y notifica al CISO.</w:t>
      </w:r>
    </w:p>
    <w:p>
      <w:pPr>
        <w:spacing w:after="40"/>
      </w:pPr>
      <w:r>
        <w:rPr>
          <w:sz w:val="22"/>
        </w:rPr>
        <w:t>• Las contraseñas rotadas se reemplazan en el gestor en el mismo acto; no se guardan versiones anteriores.</w:t>
      </w:r>
    </w:p>
    <w:p>
      <w:pPr>
        <w:spacing w:before="140"/>
      </w:pPr>
      <w:r>
        <w:rPr>
          <w:b/>
          <w:color w:val="2E74B5"/>
          <w:sz w:val="22"/>
        </w:rPr>
        <w:t>Paso 6 — Baja de usuario del gestor</w:t>
      </w:r>
    </w:p>
    <w:p>
      <w:pPr>
        <w:spacing w:after="40"/>
      </w:pPr>
      <w:r>
        <w:rPr>
          <w:sz w:val="22"/>
        </w:rPr>
        <w:t>• Al desvincularse un empleado (PROC-SGSI-06 Proceso C), Gerencia TI revoca su acceso al gestor el mismo día, como parte del checklist de offboarding.</w:t>
      </w:r>
    </w:p>
    <w:p>
      <w:pPr>
        <w:spacing w:after="40"/>
      </w:pPr>
      <w:r>
        <w:rPr>
          <w:sz w:val="22"/>
        </w:rPr>
        <w:t>• Se revisan las bóvedas compartidas a las que tenía acceso y se rotan las contraseñas críticas (admin, PCI) dentro de las 24 horas, aunque el usuario haya salido de forma amistosa.</w:t>
      </w:r>
    </w:p>
    <w:p>
      <w:pPr>
        <w:spacing w:before="200" w:after="80"/>
      </w:pPr>
      <w:r>
        <w:rPr>
          <w:b/>
          <w:color w:val="1F3864"/>
          <w:sz w:val="26"/>
        </w:rPr>
        <w:t>6. Registros y evidencias</w:t>
      </w:r>
    </w:p>
    <w:p>
      <w:pPr>
        <w:spacing w:after="40"/>
      </w:pPr>
      <w:r>
        <w:rPr>
          <w:sz w:val="22"/>
        </w:rPr>
        <w:t>• Log de acceso a bóvedas compartidas (generado por el gestor)</w:t>
      </w:r>
    </w:p>
    <w:p>
      <w:pPr>
        <w:spacing w:after="40"/>
      </w:pPr>
      <w:r>
        <w:rPr>
          <w:sz w:val="22"/>
        </w:rPr>
        <w:t>• Registro de altas y bajas de usuarios en el gestor (ticket ITSM)</w:t>
      </w:r>
    </w:p>
    <w:p>
      <w:pPr>
        <w:spacing w:after="40"/>
      </w:pPr>
      <w:r>
        <w:rPr>
          <w:sz w:val="22"/>
        </w:rPr>
        <w:t>• Informe mensual de contraseñas con rotación vencida o pendiente</w:t>
      </w:r>
    </w:p>
    <w:p>
      <w:pPr>
        <w:spacing w:after="40"/>
      </w:pPr>
      <w:r>
        <w:rPr>
          <w:sz w:val="22"/>
        </w:rPr>
        <w:t>• Acta de rotación de contraseñas críticas post-desvinculación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pPr>
        <w:spacing w:after="40"/>
      </w:pPr>
      <w:r>
        <w:rPr>
          <w:sz w:val="22"/>
        </w:rPr>
        <w:t>• POL-SGSI-02 — Política de gestión de contraseñas y autenticación</w:t>
      </w:r>
    </w:p>
    <w:p>
      <w:pPr>
        <w:spacing w:after="40"/>
      </w:pPr>
      <w:r>
        <w:rPr>
          <w:sz w:val="22"/>
        </w:rPr>
        <w:t>• POL-SGSI-01 — Política de control de acceso</w:t>
      </w:r>
    </w:p>
    <w:p>
      <w:pPr>
        <w:spacing w:after="40"/>
      </w:pPr>
      <w:r>
        <w:rPr>
          <w:sz w:val="22"/>
        </w:rPr>
        <w:t>• PROC-SGSI-06 — Procedimiento de alta, modificación y baja de accesos</w:t>
      </w:r>
    </w:p>
    <w:p>
      <w:pPr>
        <w:spacing w:after="40"/>
      </w:pPr>
      <w:r>
        <w:rPr>
          <w:sz w:val="22"/>
        </w:rPr>
        <w:t>• SoA – controles 5.17, 8.5 (ISO/IEC 27001:2022)</w:t>
      </w:r>
    </w:p>
    <w:p>
      <w:pPr>
        <w:spacing w:after="40"/>
      </w:pPr>
      <w:r>
        <w:rPr>
          <w:sz w:val="22"/>
        </w:rPr>
        <w:t>• Matriz de riesgos (R-07, R-12)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03F242-6C1E-4294-B026-945C8F68058B}"/>
</file>

<file path=customXml/itemProps3.xml><?xml version="1.0" encoding="utf-8"?>
<ds:datastoreItem xmlns:ds="http://schemas.openxmlformats.org/officeDocument/2006/customXml" ds:itemID="{1980198E-AB1D-4C69-A61B-0620ACBADC56}"/>
</file>

<file path=customXml/itemProps4.xml><?xml version="1.0" encoding="utf-8"?>
<ds:datastoreItem xmlns:ds="http://schemas.openxmlformats.org/officeDocument/2006/customXml" ds:itemID="{D4AC3D9D-25A6-4E61-9033-9C15AED3C5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