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PROC-SGSI-09 — Procedimiento de segmentación de red y revisión de reglas de firewall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PROC-SGSI-09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POL-SGSI-07 — Seguridad de red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los pasos para solicitar, aprobar, documentar y revisar las reglas de firewall y la segmentación de red de NovaRetail SpA, evitando la acumulación de reglas obsoletas o permisivas que aumenten la superficie de ataque.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al firewall perimetral, firewalls internos, reglas de VLAN y listas de control de acceso (ACL) en switches y routers de la red de NovaRetail SpA (datacenter central, bodega regional y enlaces VPN a cloud).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toda nueva regla de firewall y la arquitectura de segmentación. Lidera la revisión trimestral.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 (Infra)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Implementa y mantiene las reglas. Gestiona la documentación de la base de reglas.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Jefatura solicitante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Solicita nuevas reglas con justificación de negocio.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Arquitectura de segmentación base</w:t>
      </w:r>
    </w:p>
    <w:p>
      <w:pPr>
        <w:spacing w:after="40"/>
      </w:pPr>
      <w:r>
        <w:rPr>
          <w:sz w:val="22"/>
        </w:rPr>
        <w:t>La red de NovaRetail está segmentada en las siguientes VLANs (mínimo):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Segmento / VLAN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Sistemas incluidos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Nivel de acceso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DMZ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Portal e-commerce, servidores web públicos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Internet → DMZ (solo 443/80). DMZ → Intranet bloqueado por defecto.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PCI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Pasarela de pago, BD transaccional PCI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Aislado. Solo acceso desde DMZ en puertos específicos + admin VPN+MFA.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Servidores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ERP, BD inventario, servidores internos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Acceso solo desde red corporativa y VPN. No accesible desde DMZ.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Corporativa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Estaciones de trabajo, correo, M365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Acceso a internet filtrado. No acceso directo a PCI.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Bodega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Estaciones de bodega, escáneres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Acceso solo al ERP. Internet bloqueado. Físicamente segregado.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Gestión/OOB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Consolas de administración de red e infraestructura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Acceso solo desde IP de Gerencia TI + MFA. Totalmente aislado.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2 — Solicitud de nueva regla de firewall</w:t>
      </w:r>
    </w:p>
    <w:p>
      <w:pPr>
        <w:spacing w:after="40"/>
      </w:pPr>
      <w:r>
        <w:rPr>
          <w:sz w:val="22"/>
        </w:rPr>
        <w:t>• La jefatura solicitante abre un ticket ITSM con el Formulario de Solicitud de Regla (FSR-03), indicando: origen (IP/VLAN), destino (IP/VLAN), puerto/protocolo, justificación de negocio, duración (permanente o temporal).</w:t>
      </w:r>
    </w:p>
    <w:p>
      <w:pPr>
        <w:spacing w:after="40"/>
      </w:pPr>
      <w:r>
        <w:rPr>
          <w:sz w:val="22"/>
        </w:rPr>
        <w:t>• Gerencia TI evalúa técnicamente si la regla es la mínima necesaria y si existe una alternativa más restrictiva.</w:t>
      </w:r>
    </w:p>
    <w:p>
      <w:pPr>
        <w:spacing w:after="40"/>
      </w:pPr>
      <w:r>
        <w:rPr>
          <w:sz w:val="22"/>
        </w:rPr>
        <w:t>• El CISO aprueba o rechaza la solicitud dentro de 48 horas hábiles.</w:t>
      </w:r>
    </w:p>
    <w:p>
      <w:pPr>
        <w:spacing w:after="40"/>
      </w:pPr>
      <w:r>
        <w:rPr>
          <w:sz w:val="22"/>
        </w:rPr>
        <w:t>• Las reglas aprobadas se implementan con un comentario en el firewall: [ticket ITSM]-[fecha]-[responsable].</w:t>
      </w:r>
    </w:p>
    <w:p>
      <w:pPr>
        <w:spacing w:after="40"/>
      </w:pPr>
      <w:r>
        <w:rPr>
          <w:sz w:val="22"/>
        </w:rPr>
        <w:t>• Las reglas temporales tienen fecha de expiración definida y se eliminan automáticamente o por recordatorio del ITSM.</w:t>
      </w:r>
    </w:p>
    <w:p>
      <w:pPr>
        <w:spacing w:after="40"/>
      </w:pPr>
      <w:r>
        <w:rPr>
          <w:sz w:val="22"/>
        </w:rPr>
        <w:t>• Reglas de emergencia: ante un incidente activo en curso, el CISO puede autorizar verbalmente la creación inmediata de una regla de firewall. Gerencia TI la implementa en ese momento y registra el ticket ITSM retroactivo dentro de las 2 horas siguientes, con la autorización del CISO documentada por escrito. La regla queda marcada como “Emergencia” y se revisa en la siguiente revisión trimestral.</w:t>
      </w:r>
    </w:p>
    <w:p>
      <w:pPr>
        <w:spacing w:before="140"/>
      </w:pPr>
      <w:r>
        <w:rPr>
          <w:b/>
          <w:color w:val="2E74B5"/>
          <w:sz w:val="22"/>
        </w:rPr>
        <w:t>Paso 3 — Revisión trimestral de reglas</w:t>
      </w:r>
    </w:p>
    <w:p>
      <w:pPr>
        <w:spacing w:after="40"/>
      </w:pPr>
      <w:r>
        <w:rPr>
          <w:sz w:val="22"/>
        </w:rPr>
        <w:t>Cada trimestre el CISO y Gerencia TI realizan una revisión completa de la base de reglas:</w:t>
      </w:r>
    </w:p>
    <w:p>
      <w:pPr>
        <w:spacing w:after="40"/>
      </w:pPr>
      <w:r>
        <w:rPr>
          <w:sz w:val="22"/>
        </w:rPr>
        <w:t>• Exportar el listado completo de reglas activas del firewall.</w:t>
      </w:r>
    </w:p>
    <w:p>
      <w:pPr>
        <w:spacing w:after="40"/>
      </w:pPr>
      <w:r>
        <w:rPr>
          <w:sz w:val="22"/>
        </w:rPr>
        <w:t>• Para cada regla: verificar si el ticket ITSM asociado sigue vigente y si el sistema origen/destino aún existe.</w:t>
      </w:r>
    </w:p>
    <w:p>
      <w:pPr>
        <w:spacing w:after="40"/>
      </w:pPr>
      <w:r>
        <w:rPr>
          <w:sz w:val="22"/>
        </w:rPr>
        <w:t>• Identificar reglas con tráfico cero en los últimos 90 días (candidatas a eliminación).</w:t>
      </w:r>
    </w:p>
    <w:p>
      <w:pPr>
        <w:spacing w:after="40"/>
      </w:pPr>
      <w:r>
        <w:rPr>
          <w:sz w:val="22"/>
        </w:rPr>
        <w:t>• Identificar reglas que permiten "any/any" o con puertos excesivamente amplios.</w:t>
      </w:r>
    </w:p>
    <w:p>
      <w:pPr>
        <w:spacing w:after="40"/>
      </w:pPr>
      <w:r>
        <w:rPr>
          <w:sz w:val="22"/>
        </w:rPr>
        <w:t>• Proponer eliminación o restricción de reglas obsoletas o permisivas.</w:t>
      </w:r>
    </w:p>
    <w:p>
      <w:pPr>
        <w:spacing w:after="40"/>
      </w:pPr>
      <w:r>
        <w:rPr>
          <w:sz w:val="22"/>
        </w:rPr>
        <w:t>• El CISO aprueba las eliminaciones; Gerencia TI las implementa dentro de 5 días hábiles.</w:t>
      </w:r>
    </w:p>
    <w:p>
      <w:pPr>
        <w:spacing w:after="40"/>
      </w:pPr>
      <w:r>
        <w:rPr>
          <w:sz w:val="22"/>
        </w:rPr>
        <w:t>• Se documenta el resultado de la revisión en el Informe Trimestral de Firewall.</w:t>
      </w:r>
    </w:p>
    <w:p>
      <w:pPr>
        <w:spacing w:before="140"/>
      </w:pPr>
      <w:r>
        <w:rPr>
          <w:b/>
          <w:color w:val="2E74B5"/>
          <w:sz w:val="22"/>
        </w:rPr>
        <w:t>Paso 4 — Revisión de firmware y configuración de dispositivos</w:t>
      </w:r>
    </w:p>
    <w:p>
      <w:pPr>
        <w:spacing w:after="40"/>
      </w:pPr>
      <w:r>
        <w:rPr>
          <w:sz w:val="22"/>
        </w:rPr>
        <w:t>• Gerencia TI verifica trimestralmente que el firmware de firewalls, switches y routers está actualizado (sin CVEs críticos sin parchear).</w:t>
      </w:r>
    </w:p>
    <w:p>
      <w:pPr>
        <w:spacing w:after="40"/>
      </w:pPr>
      <w:r>
        <w:rPr>
          <w:sz w:val="22"/>
        </w:rPr>
        <w:t>• Las configuraciones de dispositivos de red se respaldan mensualmente en el repositorio de configuraciones (cifrado, con control de versiones).</w:t>
      </w:r>
    </w:p>
    <w:p>
      <w:pPr>
        <w:spacing w:after="40"/>
      </w:pPr>
      <w:r>
        <w:rPr>
          <w:sz w:val="22"/>
        </w:rPr>
        <w:t>• Cualquier cambio de configuración de red requiere ticket ITSM y aprobación del CISO.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Formularios FSR-03 firmados por solicitud de nueva regla</w:t>
      </w:r>
    </w:p>
    <w:p>
      <w:pPr>
        <w:spacing w:after="40"/>
      </w:pPr>
      <w:r>
        <w:rPr>
          <w:sz w:val="22"/>
        </w:rPr>
        <w:t>• Base de reglas documentada con ticket asociado a cada regla</w:t>
      </w:r>
    </w:p>
    <w:p>
      <w:pPr>
        <w:spacing w:after="40"/>
      </w:pPr>
      <w:r>
        <w:rPr>
          <w:sz w:val="22"/>
        </w:rPr>
        <w:t>• Informe trimestral de revisión de firewall (CISO + Gerencia TI)</w:t>
      </w:r>
    </w:p>
    <w:p>
      <w:pPr>
        <w:spacing w:after="40"/>
      </w:pPr>
      <w:r>
        <w:rPr>
          <w:sz w:val="22"/>
        </w:rPr>
        <w:t>• Respaldos de configuración de dispositivos de red (mensual)</w:t>
      </w:r>
    </w:p>
    <w:p>
      <w:pPr>
        <w:spacing w:after="40"/>
      </w:pPr>
      <w:r>
        <w:rPr>
          <w:sz w:val="22"/>
        </w:rPr>
        <w:t>• Log de cambios de configuración de red (ITSM)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POL-SGSI-07 — Política de seguridad de red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SoA – controles 8.20, 8.21, 8.22 (ISO/IEC 27001:2022)</w:t>
      </w:r>
    </w:p>
    <w:p>
      <w:pPr>
        <w:spacing w:after="40"/>
      </w:pPr>
      <w:r>
        <w:rPr>
          <w:sz w:val="22"/>
        </w:rPr>
        <w:t>• Matriz de riesgos (R-05, R-14, R-16)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BA2DF5-CD1F-414C-AAE2-0514DB633699}"/>
</file>

<file path=customXml/itemProps3.xml><?xml version="1.0" encoding="utf-8"?>
<ds:datastoreItem xmlns:ds="http://schemas.openxmlformats.org/officeDocument/2006/customXml" ds:itemID="{136450E9-D96D-4CBB-B3BB-7EFCE63D8654}"/>
</file>

<file path=customXml/itemProps4.xml><?xml version="1.0" encoding="utf-8"?>
<ds:datastoreItem xmlns:ds="http://schemas.openxmlformats.org/officeDocument/2006/customXml" ds:itemID="{16E97E26-256D-4F36-AB66-464EBA355E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