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PROC-SGSI-11 — Procedimiento de escaneo periódico de vulnerabilidades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PROC-SGSI-11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POL-SGSI-09 — Gestión de vulnerabilidades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el ciclo mensual de identificación, análisis, priorización y seguimiento de vulnerabilidades en los sistemas de NovaRetail SpA, utilizando herramientas open source y métricas CVSS, asegurando que cada hallazgo tenga un responsable y un plazo de remediación.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Servidores de producción (datacenter central y bodega regional), portal e-commerce, ERP, bases de datos, dispositivos de red y endpoints corporativos administrados por Gerencia TI. Los servicios cloud gestionados íntegramente por el proveedor se cubren mediante revisión de boletines de seguridad del proveedor.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el plan de escaneo, revisa el informe mensual y prioriza los hallazgos críticos.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 (Infra)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los escaneos, analiza los resultados y coordina la remediación con los equipos responsables.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Remedia vulnerabilidades en motores de bases de datos.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Jefe Desarrollo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Remedia vulnerabilidades en el código del portal e-commerce (DAST/SAST).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Herramientas y calendario de escaneo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835"/>
        <w:gridCol w:w="1701"/>
        <w:gridCol w:w="2268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Alcance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Ejecutado por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OpenVAS / Greenbone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Servidores, red interna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Mensual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Nikto / OWASP ZAP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Portal e-commerce (DAST)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Mensual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Jefe Desarrollo +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Lynis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Hardening de servidores Linux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Mensual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npm audit / OWASP Dependency-Check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Dependencias de código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Con cada despliegue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Jefe Desarrollo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Revisión de boletines CVE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Todos los sistemas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Semanal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 / Gerencia TI</w:t>
            </w:r>
          </w:p>
        </w:tc>
      </w:tr>
    </w:tbl>
    <w:p>
      <w:pPr>
        <w:spacing w:after="40"/>
      </w:pPr>
      <w:r>
        <w:rPr>
          <w:sz w:val="22"/>
        </w:rPr>
        <w:t>Nota — Vulnerabilidades emergentes fuera de ciclo: cuando CSIRT Chile, un proveedor o el CISO alerta sobre un CVE crítico (CVSS ≥ 9.0) fuera del calendario mensual, Gerencia TI ejecuta un escaneo dirigido sobre los sistemas afectados dentro de las 24 horas. Si se confirma la vulnerabilidad, se activa PROC-SGSI-01 con el plazo crítico (48 horas), sin esperar el ciclo mensual ordinario.</w:t>
      </w:r>
    </w:p>
    <w:p>
      <w:pPr>
        <w:spacing w:before="140"/>
      </w:pPr>
      <w:r>
        <w:rPr>
          <w:b/>
          <w:color w:val="2E74B5"/>
          <w:sz w:val="22"/>
        </w:rPr>
        <w:t>Paso 2 — Ejecución del escaneo mensual</w:t>
      </w:r>
    </w:p>
    <w:p>
      <w:pPr>
        <w:spacing w:after="40"/>
      </w:pPr>
      <w:r>
        <w:rPr>
          <w:sz w:val="22"/>
        </w:rPr>
        <w:t>• El escaneo se ejecuta en la primera semana de cada mes, en horario de menor tráfico (fuera del horario de peak del e-commerce).</w:t>
      </w:r>
    </w:p>
    <w:p>
      <w:pPr>
        <w:spacing w:after="40"/>
      </w:pPr>
      <w:r>
        <w:rPr>
          <w:sz w:val="22"/>
        </w:rPr>
        <w:t>• Se escanean primero los sistemas más críticos (PCI, ERP, BD de clientes), luego los demás.</w:t>
      </w:r>
    </w:p>
    <w:p>
      <w:pPr>
        <w:spacing w:after="40"/>
      </w:pPr>
      <w:r>
        <w:rPr>
          <w:sz w:val="22"/>
        </w:rPr>
        <w:t>• Los escaneos de red se realizan desde un segmento de administración con credenciales para obtener resultados autenticados (más precisos).</w:t>
      </w:r>
    </w:p>
    <w:p>
      <w:pPr>
        <w:spacing w:after="40"/>
      </w:pPr>
      <w:r>
        <w:rPr>
          <w:sz w:val="22"/>
        </w:rPr>
        <w:t>• Los resultados se exportan en formato estándar (XML/PDF) y se almacenan en el repositorio de informes de seguridad.</w:t>
      </w:r>
    </w:p>
    <w:p>
      <w:pPr>
        <w:spacing w:before="140"/>
      </w:pPr>
      <w:r>
        <w:rPr>
          <w:b/>
          <w:color w:val="2E74B5"/>
          <w:sz w:val="22"/>
        </w:rPr>
        <w:t>Paso 3 — Análisis y priorización</w:t>
      </w:r>
    </w:p>
    <w:p>
      <w:pPr>
        <w:spacing w:after="40"/>
      </w:pPr>
      <w:r>
        <w:rPr>
          <w:sz w:val="22"/>
        </w:rPr>
        <w:t>Los hallazgos se priorizan usando la puntuación CVSS y el contexto de NovaRetail: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984"/>
        <w:gridCol w:w="3685"/>
      </w:tblGrid>
      <w:t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Severidad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CVSS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remediación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 de priorización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Crítica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≥ 9.0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48 horas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Vulnerabilidad explotable remotamente o con PoC activo en sistemas PCI/ERP/portal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Alta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7.0–8.9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Vulnerabilidad con impacto significativo en sistemas de producción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4.0–6.9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Vulnerabilidad con impacto limitado o que requiere acceso previo para explotar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&lt; 4.0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Mejoras de hardening o configuración sin riesgo de explotación inmediata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4 — Seguimiento de remediación</w:t>
      </w:r>
    </w:p>
    <w:p>
      <w:pPr>
        <w:spacing w:after="40"/>
      </w:pPr>
      <w:r>
        <w:rPr>
          <w:sz w:val="22"/>
        </w:rPr>
        <w:t>• Por cada hallazgo se crea un ticket ITSM con: CVE/descripción, CVSS, sistema afectado, responsable de remediación y fecha límite.</w:t>
      </w:r>
    </w:p>
    <w:p>
      <w:pPr>
        <w:spacing w:after="40"/>
      </w:pPr>
      <w:r>
        <w:rPr>
          <w:sz w:val="22"/>
        </w:rPr>
        <w:t>• Gerencia TI verifica la remediación mediante re-escaneo dirigido una vez que el responsable cierra el ticket.</w:t>
      </w:r>
    </w:p>
    <w:p>
      <w:pPr>
        <w:spacing w:after="40"/>
      </w:pPr>
      <w:r>
        <w:rPr>
          <w:sz w:val="22"/>
        </w:rPr>
        <w:t>• Las vulnerabilidades críticas se re-escanean dentro de las 24 horas post-remediación.</w:t>
      </w:r>
    </w:p>
    <w:p>
      <w:pPr>
        <w:spacing w:after="40"/>
      </w:pPr>
      <w:r>
        <w:rPr>
          <w:sz w:val="22"/>
        </w:rPr>
        <w:t>• Si un hallazgo no puede remediarse en el plazo (dependencia de proveedor, impacto operacional), el CISO documenta la excepción y los controles compensatorios.</w:t>
      </w:r>
    </w:p>
    <w:p>
      <w:pPr>
        <w:spacing w:before="140"/>
      </w:pPr>
      <w:r>
        <w:rPr>
          <w:b/>
          <w:color w:val="2E74B5"/>
          <w:sz w:val="22"/>
        </w:rPr>
        <w:t>Paso 5 — Informe mensual de vulnerabilidades</w:t>
      </w:r>
    </w:p>
    <w:p>
      <w:pPr>
        <w:spacing w:after="40"/>
      </w:pPr>
      <w:r>
        <w:rPr>
          <w:sz w:val="22"/>
        </w:rPr>
        <w:t>Al cierre del ciclo mensual, el CISO recibe un informe con:</w:t>
      </w:r>
    </w:p>
    <w:p>
      <w:pPr>
        <w:spacing w:after="40"/>
      </w:pPr>
      <w:r>
        <w:rPr>
          <w:sz w:val="22"/>
        </w:rPr>
        <w:t>• Total de hallazgos por severidad</w:t>
      </w:r>
    </w:p>
    <w:p>
      <w:pPr>
        <w:spacing w:after="40"/>
      </w:pPr>
      <w:r>
        <w:rPr>
          <w:sz w:val="22"/>
        </w:rPr>
        <w:t>• Hallazgos nuevos vs. hallazgos recurrentes</w:t>
      </w:r>
    </w:p>
    <w:p>
      <w:pPr>
        <w:spacing w:after="40"/>
      </w:pPr>
      <w:r>
        <w:rPr>
          <w:sz w:val="22"/>
        </w:rPr>
        <w:t>• Estado de remediación: resueltos / en progreso / con excepción aprobada</w:t>
      </w:r>
    </w:p>
    <w:p>
      <w:pPr>
        <w:spacing w:after="40"/>
      </w:pPr>
      <w:r>
        <w:rPr>
          <w:sz w:val="22"/>
        </w:rPr>
        <w:t>• Tiempo promedio de remediación por severidad (indicador KPI)</w:t>
      </w:r>
    </w:p>
    <w:p>
      <w:pPr>
        <w:spacing w:after="40"/>
      </w:pPr>
      <w:r>
        <w:rPr>
          <w:sz w:val="22"/>
        </w:rPr>
        <w:t>• Top 5 sistemas con mayor cantidad de vulnerabilidades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Informes de escaneo crudos exportados (XML/PDF, retención 12 meses)</w:t>
      </w:r>
    </w:p>
    <w:p>
      <w:pPr>
        <w:spacing w:after="40"/>
      </w:pPr>
      <w:r>
        <w:rPr>
          <w:sz w:val="22"/>
        </w:rPr>
        <w:t>• Tickets ITSM de remediación por cada hallazgo</w:t>
      </w:r>
    </w:p>
    <w:p>
      <w:pPr>
        <w:spacing w:after="40"/>
      </w:pPr>
      <w:r>
        <w:rPr>
          <w:sz w:val="22"/>
        </w:rPr>
        <w:t>• Informe mensual consolidado firmado por CISO</w:t>
      </w:r>
    </w:p>
    <w:p>
      <w:pPr>
        <w:spacing w:after="40"/>
      </w:pPr>
      <w:r>
        <w:rPr>
          <w:sz w:val="22"/>
        </w:rPr>
        <w:t>• Registro de excepciones aprobadas con controles compensatorios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POL-SGSI-09 — Política de gestión de vulnerabilidades</w:t>
      </w:r>
    </w:p>
    <w:p>
      <w:pPr>
        <w:spacing w:after="40"/>
      </w:pPr>
      <w:r>
        <w:rPr>
          <w:sz w:val="22"/>
        </w:rPr>
        <w:t>• PROC-SGSI-01 — Procedimiento de actualización y gestión de parches</w:t>
      </w:r>
    </w:p>
    <w:p>
      <w:pPr>
        <w:spacing w:after="40"/>
      </w:pPr>
      <w:r>
        <w:rPr>
          <w:sz w:val="22"/>
        </w:rPr>
        <w:t>• PROC-SGSI-04 — Procedimiento de línea base de software</w:t>
      </w:r>
    </w:p>
    <w:p>
      <w:pPr>
        <w:spacing w:after="40"/>
      </w:pPr>
      <w:r>
        <w:rPr>
          <w:sz w:val="22"/>
        </w:rPr>
        <w:t>• SoA – controles 8.8, 8.29 (ISO/IEC 27001:2022)</w:t>
      </w:r>
    </w:p>
    <w:p>
      <w:pPr>
        <w:spacing w:after="40"/>
      </w:pPr>
      <w:r>
        <w:rPr>
          <w:sz w:val="22"/>
        </w:rPr>
        <w:t>• Matriz de riesgos (R-04, R-09, R-17)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795E36-7954-4825-A9B6-5A8E852295F1}"/>
</file>

<file path=customXml/itemProps3.xml><?xml version="1.0" encoding="utf-8"?>
<ds:datastoreItem xmlns:ds="http://schemas.openxmlformats.org/officeDocument/2006/customXml" ds:itemID="{479CEA7A-2D1A-4DF4-9FB5-AD6A9179CAA4}"/>
</file>

<file path=customXml/itemProps4.xml><?xml version="1.0" encoding="utf-8"?>
<ds:datastoreItem xmlns:ds="http://schemas.openxmlformats.org/officeDocument/2006/customXml" ds:itemID="{CACF32D8-FFB2-4839-993B-1FF1BBE18CE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