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xmlns:wp14="http://schemas.microsoft.com/office/word/2010/wordml" w:rsidRPr="007403AF" w:rsidR="007403AF" w:rsidP="007403AF" w:rsidRDefault="007403AF" w14:paraId="512E0217" wp14:textId="77777777">
      <w:pPr>
        <w:rPr>
          <w:b/>
          <w:bCs/>
        </w:rPr>
      </w:pPr>
      <w:r w:rsidRPr="007403AF">
        <w:rPr>
          <w:b/>
          <w:bCs/>
        </w:rPr>
        <w:t>1. Diagrama BPMN: Procedimiento de Desvinculación Segura y Prevención de Fuga de Datos (DLP)</w:t>
      </w:r>
    </w:p>
    <w:p xmlns:wp14="http://schemas.microsoft.com/office/word/2010/wordml" w:rsidRPr="007403AF" w:rsidR="007403AF" w:rsidP="007403AF" w:rsidRDefault="007403AF" w14:paraId="3418F29F" wp14:textId="77777777">
      <w:r w:rsidRPr="007403AF">
        <w:rPr>
          <w:b/>
          <w:bCs/>
        </w:rPr>
        <w:t>Políticas y Procedimientos que lo fundamentan:</w:t>
      </w:r>
    </w:p>
    <w:p xmlns:wp14="http://schemas.microsoft.com/office/word/2010/wordml" w:rsidRPr="007403AF" w:rsidR="007403AF" w:rsidP="007403AF" w:rsidRDefault="007403AF" w14:paraId="3C88083C" wp14:textId="77777777">
      <w:pPr>
        <w:numPr>
          <w:ilvl w:val="0"/>
          <w:numId w:val="1"/>
        </w:numPr>
      </w:pPr>
      <w:r w:rsidRPr="007403AF">
        <w:rPr>
          <w:b/>
          <w:bCs/>
        </w:rPr>
        <w:t>POL-SGSI-14 — Política de contratación y desvinculación:</w:t>
      </w:r>
      <w:r w:rsidRPr="007403AF">
        <w:t xml:space="preserve"> Dicta las obligaciones de seguridad al término de la relación laboral. </w:t>
      </w:r>
    </w:p>
    <w:p xmlns:wp14="http://schemas.microsoft.com/office/word/2010/wordml" w:rsidRPr="007403AF" w:rsidR="007403AF" w:rsidP="007403AF" w:rsidRDefault="007403AF" w14:paraId="3326E457" wp14:textId="77777777">
      <w:pPr>
        <w:numPr>
          <w:ilvl w:val="0"/>
          <w:numId w:val="1"/>
        </w:numPr>
      </w:pPr>
      <w:r w:rsidRPr="007403AF">
        <w:rPr>
          <w:b/>
          <w:bCs/>
        </w:rPr>
        <w:t>POL-SGSI-01 — Política de control de acceso:</w:t>
      </w:r>
      <w:r w:rsidRPr="007403AF">
        <w:t xml:space="preserve"> Exige la revocación de accesos el mismo día de la desvinculación (o dentro de 1 hora en casos graves). </w:t>
      </w:r>
    </w:p>
    <w:p xmlns:wp14="http://schemas.microsoft.com/office/word/2010/wordml" w:rsidRPr="007403AF" w:rsidR="007403AF" w:rsidP="007403AF" w:rsidRDefault="007403AF" w14:paraId="75DCCA39" wp14:textId="77777777">
      <w:pPr>
        <w:numPr>
          <w:ilvl w:val="0"/>
          <w:numId w:val="1"/>
        </w:numPr>
      </w:pPr>
      <w:r w:rsidRPr="007403AF">
        <w:rPr>
          <w:b/>
          <w:bCs/>
        </w:rPr>
        <w:t>PROC-SGSI-06 — Procedimiento de alta, modificación y baja de accesos (Proceso C):</w:t>
      </w:r>
      <w:r w:rsidRPr="007403AF">
        <w:t xml:space="preserve"> Detalla los pasos operativos de RRHH y TI para la desactivación de cuentas. </w:t>
      </w:r>
    </w:p>
    <w:p xmlns:wp14="http://schemas.microsoft.com/office/word/2010/wordml" w:rsidRPr="007403AF" w:rsidR="007403AF" w:rsidP="007403AF" w:rsidRDefault="007403AF" w14:paraId="3B0C0221" wp14:textId="77777777">
      <w:r w:rsidRPr="007403AF">
        <w:rPr>
          <w:b/>
          <w:bCs/>
        </w:rPr>
        <w:t>Justificación del Flujo:</w:t>
      </w:r>
      <w:r w:rsidRPr="007403AF">
        <w:t xml:space="preserve"> El diagrama modela la interacción obligatoria entre Recursos Humanos y Gerencia TI. La inclusión de la compuerta lógica del si</w:t>
      </w:r>
      <w:r>
        <w:t>stema DLP</w:t>
      </w:r>
      <w:r w:rsidRPr="007403AF">
        <w:t xml:space="preserve"> responde a la necesidad de proteger la información clasificada como "Confidencial", automatizando el bloqueo de correos salientes con datos sensibles durante el proceso de salida del colaborador, mitigando el riesgo de </w:t>
      </w:r>
      <w:proofErr w:type="spellStart"/>
      <w:r w:rsidRPr="007403AF">
        <w:t>exfiltración</w:t>
      </w:r>
      <w:proofErr w:type="spellEnd"/>
      <w:r w:rsidRPr="007403AF">
        <w:t>.</w:t>
      </w:r>
    </w:p>
    <w:p xmlns:wp14="http://schemas.microsoft.com/office/word/2010/wordml" w:rsidRPr="007403AF" w:rsidR="007403AF" w:rsidP="007403AF" w:rsidRDefault="007403AF" w14:paraId="2C52445C" wp14:textId="62CD9329">
      <w:pPr>
        <w:rPr>
          <w:b w:val="1"/>
          <w:bCs w:val="1"/>
        </w:rPr>
      </w:pPr>
      <w:r w:rsidRPr="0A090C52" w:rsidR="007403AF">
        <w:rPr>
          <w:b w:val="1"/>
          <w:bCs w:val="1"/>
        </w:rPr>
        <w:t>2. Diagrama BPMN: Gestión de Actualizaciones</w:t>
      </w:r>
      <w:r w:rsidRPr="0A090C52" w:rsidR="6A3943AB">
        <w:rPr>
          <w:b w:val="1"/>
          <w:bCs w:val="1"/>
        </w:rPr>
        <w:t xml:space="preserve"> y</w:t>
      </w:r>
      <w:r w:rsidRPr="0A090C52" w:rsidR="007403AF">
        <w:rPr>
          <w:b w:val="1"/>
          <w:bCs w:val="1"/>
        </w:rPr>
        <w:t xml:space="preserve"> Parcheado</w:t>
      </w:r>
    </w:p>
    <w:p xmlns:wp14="http://schemas.microsoft.com/office/word/2010/wordml" w:rsidRPr="007403AF" w:rsidR="007403AF" w:rsidP="007403AF" w:rsidRDefault="007403AF" w14:paraId="2C021AC7" wp14:textId="77777777">
      <w:r w:rsidRPr="007403AF">
        <w:rPr>
          <w:b/>
          <w:bCs/>
        </w:rPr>
        <w:t>Políticas y Procedimientos que lo fundamentan:</w:t>
      </w:r>
    </w:p>
    <w:p xmlns:wp14="http://schemas.microsoft.com/office/word/2010/wordml" w:rsidRPr="007403AF" w:rsidR="007403AF" w:rsidP="007403AF" w:rsidRDefault="007403AF" w14:paraId="6B5EC1B5" wp14:textId="77777777">
      <w:pPr>
        <w:numPr>
          <w:ilvl w:val="0"/>
          <w:numId w:val="2"/>
        </w:numPr>
      </w:pPr>
      <w:r w:rsidRPr="007403AF">
        <w:rPr>
          <w:b/>
          <w:bCs/>
        </w:rPr>
        <w:t>POL-SGSI-05 — Política de gestión de parches y actualizaciones:</w:t>
      </w:r>
      <w:r w:rsidRPr="007403AF">
        <w:t xml:space="preserve"> Establece la diferenciación explícita entre parches que requieren reinicio (ej. </w:t>
      </w:r>
      <w:proofErr w:type="spellStart"/>
      <w:r w:rsidRPr="007403AF">
        <w:t>Kernel</w:t>
      </w:r>
      <w:proofErr w:type="spellEnd"/>
      <w:r w:rsidRPr="007403AF">
        <w:t xml:space="preserve">) y aquellos que se aplican en caliente. </w:t>
      </w:r>
    </w:p>
    <w:p xmlns:wp14="http://schemas.microsoft.com/office/word/2010/wordml" w:rsidRPr="007403AF" w:rsidR="007403AF" w:rsidP="007403AF" w:rsidRDefault="007403AF" w14:paraId="26EBB5AF" wp14:textId="77777777">
      <w:pPr>
        <w:numPr>
          <w:ilvl w:val="0"/>
          <w:numId w:val="2"/>
        </w:numPr>
      </w:pPr>
      <w:r w:rsidRPr="007403AF">
        <w:rPr>
          <w:b/>
          <w:bCs/>
        </w:rPr>
        <w:t>POL-SGSI-15 — Política de línea base de software:</w:t>
      </w:r>
      <w:r w:rsidRPr="007403AF">
        <w:t xml:space="preserve"> Define el uso de herramientas de automatización y configuración segura para mantener la homogeneidad. </w:t>
      </w:r>
    </w:p>
    <w:p xmlns:wp14="http://schemas.microsoft.com/office/word/2010/wordml" w:rsidRPr="007403AF" w:rsidR="007403AF" w:rsidP="007403AF" w:rsidRDefault="007403AF" w14:paraId="6060CB1D" wp14:textId="77777777">
      <w:pPr>
        <w:numPr>
          <w:ilvl w:val="0"/>
          <w:numId w:val="2"/>
        </w:numPr>
      </w:pPr>
      <w:r w:rsidRPr="007403AF">
        <w:rPr>
          <w:b/>
          <w:bCs/>
        </w:rPr>
        <w:t>PROC-SGSI-01 — Procedimiento de gestión de actualizaciones y parches:</w:t>
      </w:r>
      <w:r w:rsidRPr="007403AF">
        <w:t xml:space="preserve"> Establece los SLA de a</w:t>
      </w:r>
      <w:r>
        <w:t>plicación</w:t>
      </w:r>
      <w:r w:rsidRPr="007403AF">
        <w:t xml:space="preserve"> y las ventanas de mantenimiento. </w:t>
      </w:r>
    </w:p>
    <w:p xmlns:wp14="http://schemas.microsoft.com/office/word/2010/wordml" w:rsidRPr="007403AF" w:rsidR="007403AF" w:rsidP="007403AF" w:rsidRDefault="007403AF" w14:paraId="1CBBA8A7" wp14:textId="77777777">
      <w:r w:rsidRPr="007403AF">
        <w:rPr>
          <w:b/>
          <w:bCs/>
        </w:rPr>
        <w:t>Justificación del Flujo:</w:t>
      </w:r>
      <w:r w:rsidRPr="007403AF">
        <w:t xml:space="preserve"> El diagrama visualiza la lógica de ramificación exigida por la norma interna: si el parche afecta componentes </w:t>
      </w:r>
      <w:r>
        <w:t>críticos</w:t>
      </w:r>
      <w:r w:rsidRPr="007403AF">
        <w:t>, el flujo obliga a derivar la tarea hacia la programación de una ventana de mantenimiento fuera de horario. Si es una actualización estándar, el flujo autoriza el uso de automatización (</w:t>
      </w:r>
      <w:proofErr w:type="spellStart"/>
      <w:r w:rsidRPr="007403AF">
        <w:t>Ansible</w:t>
      </w:r>
      <w:proofErr w:type="spellEnd"/>
      <w:r w:rsidRPr="007403AF">
        <w:t>) para despliegues masivos. El cierre del flujo con herramientas de escaneo (</w:t>
      </w:r>
      <w:proofErr w:type="spellStart"/>
      <w:r w:rsidRPr="007403AF">
        <w:t>Wazuh</w:t>
      </w:r>
      <w:proofErr w:type="spellEnd"/>
      <w:r w:rsidRPr="007403AF">
        <w:t>) asegura el cumplimiento continuo de la línea base aprobada.</w:t>
      </w:r>
    </w:p>
    <w:p xmlns:wp14="http://schemas.microsoft.com/office/word/2010/wordml" w:rsidRPr="007403AF" w:rsidR="007403AF" w:rsidP="007403AF" w:rsidRDefault="007403AF" w14:paraId="7A29DDAD" wp14:textId="66F9E60A">
      <w:pPr>
        <w:rPr>
          <w:b w:val="1"/>
          <w:bCs w:val="1"/>
        </w:rPr>
      </w:pPr>
      <w:r w:rsidRPr="0A090C52" w:rsidR="007403AF">
        <w:rPr>
          <w:b w:val="1"/>
          <w:bCs w:val="1"/>
        </w:rPr>
        <w:t>3. Diagrama BPMN: Gestión de Respaldos y</w:t>
      </w:r>
      <w:r w:rsidRPr="0A090C52" w:rsidR="6E2DAA09">
        <w:rPr>
          <w:b w:val="1"/>
          <w:bCs w:val="1"/>
        </w:rPr>
        <w:t xml:space="preserve"> </w:t>
      </w:r>
      <w:r w:rsidRPr="0A090C52" w:rsidR="007403AF">
        <w:rPr>
          <w:b w:val="1"/>
          <w:bCs w:val="1"/>
        </w:rPr>
        <w:t xml:space="preserve">de </w:t>
      </w:r>
      <w:r w:rsidRPr="0A090C52" w:rsidR="007403AF">
        <w:rPr>
          <w:b w:val="1"/>
          <w:bCs w:val="1"/>
        </w:rPr>
        <w:t>Rollback</w:t>
      </w:r>
    </w:p>
    <w:p xmlns:wp14="http://schemas.microsoft.com/office/word/2010/wordml" w:rsidRPr="007403AF" w:rsidR="007403AF" w:rsidP="007403AF" w:rsidRDefault="007403AF" w14:paraId="580CE02E" wp14:textId="77777777">
      <w:r w:rsidRPr="007403AF">
        <w:rPr>
          <w:b/>
          <w:bCs/>
        </w:rPr>
        <w:t>Políticas y Procedimientos que lo fundamentan:</w:t>
      </w:r>
    </w:p>
    <w:p xmlns:wp14="http://schemas.microsoft.com/office/word/2010/wordml" w:rsidRPr="007403AF" w:rsidR="007403AF" w:rsidP="007403AF" w:rsidRDefault="007403AF" w14:paraId="4D5B2472" wp14:textId="77777777">
      <w:pPr>
        <w:numPr>
          <w:ilvl w:val="0"/>
          <w:numId w:val="3"/>
        </w:numPr>
      </w:pPr>
      <w:r w:rsidRPr="007403AF">
        <w:rPr>
          <w:b/>
          <w:bCs/>
        </w:rPr>
        <w:t>POL-SGSI-03 — Política de respaldo y recuperación:</w:t>
      </w:r>
      <w:r w:rsidRPr="007403AF">
        <w:t xml:space="preserve"> Exige la estrategia 3-2-1, cifrado de reposo y pruebas de restauración documentadas. </w:t>
      </w:r>
    </w:p>
    <w:p xmlns:wp14="http://schemas.microsoft.com/office/word/2010/wordml" w:rsidRPr="007403AF" w:rsidR="007403AF" w:rsidP="007403AF" w:rsidRDefault="007403AF" w14:paraId="2AA37EAE" wp14:textId="77777777">
      <w:pPr>
        <w:numPr>
          <w:ilvl w:val="0"/>
          <w:numId w:val="3"/>
        </w:numPr>
      </w:pPr>
      <w:r w:rsidRPr="007403AF">
        <w:rPr>
          <w:b/>
          <w:bCs/>
        </w:rPr>
        <w:t>POL-SGSI-12 — Política de cifrado de datos:</w:t>
      </w:r>
      <w:r w:rsidRPr="007403AF">
        <w:t xml:space="preserve"> Obliga a cifrar las bases de datos de clientes y la información financiera. </w:t>
      </w:r>
    </w:p>
    <w:p xmlns:wp14="http://schemas.microsoft.com/office/word/2010/wordml" w:rsidRPr="007403AF" w:rsidR="007403AF" w:rsidP="007403AF" w:rsidRDefault="007403AF" w14:paraId="52DA9C3A" wp14:textId="77777777">
      <w:pPr>
        <w:numPr>
          <w:ilvl w:val="0"/>
          <w:numId w:val="3"/>
        </w:numPr>
      </w:pPr>
      <w:r w:rsidRPr="007403AF">
        <w:rPr>
          <w:b/>
          <w:bCs/>
        </w:rPr>
        <w:t xml:space="preserve">PROC-SGSI-03 — Procedimiento de </w:t>
      </w:r>
      <w:proofErr w:type="spellStart"/>
      <w:r w:rsidRPr="007403AF">
        <w:rPr>
          <w:b/>
          <w:bCs/>
        </w:rPr>
        <w:t>rollback</w:t>
      </w:r>
      <w:proofErr w:type="spellEnd"/>
      <w:r w:rsidRPr="007403AF">
        <w:rPr>
          <w:b/>
          <w:bCs/>
        </w:rPr>
        <w:t xml:space="preserve"> de sistemas y aplicaciones:</w:t>
      </w:r>
      <w:r w:rsidRPr="007403AF">
        <w:t xml:space="preserve"> Define los criterios y pasos para revertir sistemas al último estado estable conocido. </w:t>
      </w:r>
    </w:p>
    <w:p xmlns:wp14="http://schemas.microsoft.com/office/word/2010/wordml" w:rsidRPr="007403AF" w:rsidR="007403AF" w:rsidP="007403AF" w:rsidRDefault="007403AF" w14:paraId="2D78AB55" wp14:textId="77777777">
      <w:r w:rsidRPr="007403AF">
        <w:rPr>
          <w:b/>
          <w:bCs/>
        </w:rPr>
        <w:t>Justificación del Flujo:</w:t>
      </w:r>
      <w:r w:rsidRPr="007403AF">
        <w:t xml:space="preserve"> El modelado no se limita a graficar la copia de archivos. El flujo operativo traza explícitamente las tareas de aplicación de cifrado criptográfico antes del almacenamiento, dando cumplimiento a la POL-SGSI-12. Además, la compuerta exclusiva de verificación obliga a Infraestructura TI a extraer una muestra periódica y ejecutar una prueba de </w:t>
      </w:r>
      <w:proofErr w:type="spellStart"/>
      <w:r w:rsidRPr="007403AF">
        <w:t>Rollback</w:t>
      </w:r>
      <w:proofErr w:type="spellEnd"/>
      <w:r w:rsidRPr="007403AF">
        <w:t xml:space="preserve"> en un ambiente aislado, derivando en la apertura de un incidente de seguridad en caso de fallo, garantizando así la resiliencia contra ataques de </w:t>
      </w:r>
      <w:proofErr w:type="spellStart"/>
      <w:r w:rsidRPr="007403AF">
        <w:t>ransomware</w:t>
      </w:r>
      <w:proofErr w:type="spellEnd"/>
      <w:r w:rsidRPr="007403AF">
        <w:t xml:space="preserve">. </w:t>
      </w:r>
    </w:p>
    <w:p xmlns:wp14="http://schemas.microsoft.com/office/word/2010/wordml" w:rsidRPr="007403AF" w:rsidR="007403AF" w:rsidP="007403AF" w:rsidRDefault="007403AF" w14:paraId="2B0838B2" wp14:textId="010992E7">
      <w:pPr>
        <w:rPr>
          <w:b w:val="1"/>
          <w:bCs w:val="1"/>
        </w:rPr>
      </w:pPr>
      <w:r w:rsidRPr="769B3E56" w:rsidR="007403AF">
        <w:rPr>
          <w:b w:val="1"/>
          <w:bCs w:val="1"/>
        </w:rPr>
        <w:t>4. Diagrama BPMN: Gestión de Incidentes de Seguridad</w:t>
      </w:r>
      <w:r w:rsidRPr="769B3E56" w:rsidR="007403AF">
        <w:rPr>
          <w:b w:val="1"/>
          <w:bCs w:val="1"/>
        </w:rPr>
        <w:t xml:space="preserve"> y Sanciones</w:t>
      </w:r>
    </w:p>
    <w:p xmlns:wp14="http://schemas.microsoft.com/office/word/2010/wordml" w:rsidRPr="007403AF" w:rsidR="007403AF" w:rsidP="007403AF" w:rsidRDefault="007403AF" w14:paraId="19F6796B" wp14:textId="77777777">
      <w:r w:rsidRPr="007403AF">
        <w:rPr>
          <w:b/>
          <w:bCs/>
        </w:rPr>
        <w:t>Políticas y Procedimientos que lo fundamentan:</w:t>
      </w:r>
    </w:p>
    <w:p xmlns:wp14="http://schemas.microsoft.com/office/word/2010/wordml" w:rsidRPr="007403AF" w:rsidR="007403AF" w:rsidP="007403AF" w:rsidRDefault="007403AF" w14:paraId="211DB03B" wp14:textId="77777777">
      <w:pPr>
        <w:numPr>
          <w:ilvl w:val="0"/>
          <w:numId w:val="4"/>
        </w:numPr>
      </w:pPr>
      <w:r w:rsidRPr="007403AF">
        <w:rPr>
          <w:b/>
          <w:bCs/>
        </w:rPr>
        <w:t>POL-SGSI-11 — Política de gestión de incidentes de seguridad y reporte ANCI:</w:t>
      </w:r>
      <w:r w:rsidRPr="007403AF">
        <w:t xml:space="preserve"> Define los tiempos máximos de respuesta inicial y l</w:t>
      </w:r>
      <w:r>
        <w:t>os plazos legales de reporte (como</w:t>
      </w:r>
      <w:r w:rsidRPr="007403AF">
        <w:t xml:space="preserve"> 3 horas para alerta temprana). </w:t>
      </w:r>
    </w:p>
    <w:p xmlns:wp14="http://schemas.microsoft.com/office/word/2010/wordml" w:rsidRPr="007403AF" w:rsidR="007403AF" w:rsidP="007403AF" w:rsidRDefault="007403AF" w14:paraId="6700B2C4" wp14:textId="77777777">
      <w:pPr>
        <w:numPr>
          <w:ilvl w:val="0"/>
          <w:numId w:val="4"/>
        </w:numPr>
      </w:pPr>
      <w:r w:rsidRPr="007403AF">
        <w:rPr>
          <w:b/>
          <w:bCs/>
        </w:rPr>
        <w:t>POL-SGSI-13 — Política de gestión de proveedores y terceros OIV:</w:t>
      </w:r>
      <w:r w:rsidRPr="007403AF">
        <w:t xml:space="preserve"> Exige </w:t>
      </w:r>
      <w:proofErr w:type="spellStart"/>
      <w:r w:rsidRPr="007403AF">
        <w:t>SLAs</w:t>
      </w:r>
      <w:proofErr w:type="spellEnd"/>
      <w:r w:rsidRPr="007403AF">
        <w:t xml:space="preserve"> de seguridad a contratistas y prevé acciones ante incumplimientos. </w:t>
      </w:r>
    </w:p>
    <w:p xmlns:wp14="http://schemas.microsoft.com/office/word/2010/wordml" w:rsidRPr="007403AF" w:rsidR="007403AF" w:rsidP="007403AF" w:rsidRDefault="007403AF" w14:paraId="0B514130" wp14:textId="77777777">
      <w:pPr>
        <w:numPr>
          <w:ilvl w:val="0"/>
          <w:numId w:val="4"/>
        </w:numPr>
      </w:pPr>
      <w:r w:rsidRPr="007403AF">
        <w:rPr>
          <w:b/>
          <w:bCs/>
        </w:rPr>
        <w:t>PROC-SGSI-05 — Procedimiento operativo de gestión de incidentes y reporte ANCI:</w:t>
      </w:r>
      <w:r w:rsidRPr="007403AF">
        <w:t xml:space="preserve"> Entrega el paso a paso del equipo de respuesta ante incidentes (ERI). </w:t>
      </w:r>
    </w:p>
    <w:p xmlns:wp14="http://schemas.microsoft.com/office/word/2010/wordml" w:rsidRPr="007403AF" w:rsidR="007403AF" w:rsidP="007403AF" w:rsidRDefault="007403AF" w14:paraId="4124DACF" wp14:textId="77777777">
      <w:r w:rsidRPr="007403AF">
        <w:rPr>
          <w:b/>
          <w:bCs/>
        </w:rPr>
        <w:t>Justificación del Flujo:</w:t>
      </w:r>
      <w:r w:rsidRPr="007403AF">
        <w:t xml:space="preserve"> El diagrama traza el ciclo de vida de un evento de seguridad anómalo. La pieza central del flujo es la compuerta de cumplimiento de SLA. Si la contención o erradicación del incidente excede los tiempos normativos, el diagrama </w:t>
      </w:r>
      <w:proofErr w:type="spellStart"/>
      <w:r w:rsidRPr="007403AF">
        <w:t>enruta</w:t>
      </w:r>
      <w:proofErr w:type="spellEnd"/>
      <w:r w:rsidRPr="007403AF">
        <w:t xml:space="preserve"> automáticamente el proceso hacia el carril de RRHH o del Comité de Seguridad para la evaluación de la falla y la posterior aplicación de sanciones administrativas o multas contractuales, </w:t>
      </w:r>
      <w:proofErr w:type="spellStart"/>
      <w:r w:rsidRPr="007403AF">
        <w:t>tangibilizando</w:t>
      </w:r>
      <w:proofErr w:type="spellEnd"/>
      <w:r w:rsidRPr="007403AF">
        <w:t xml:space="preserve"> la gobernanza exigida.</w:t>
      </w:r>
    </w:p>
    <w:p xmlns:wp14="http://schemas.microsoft.com/office/word/2010/wordml" w:rsidR="007E67C3" w:rsidRDefault="007403AF" w14:paraId="672A6659" wp14:textId="77777777">
      <w:bookmarkStart w:name="_GoBack" w:id="0"/>
      <w:bookmarkEnd w:id="0"/>
    </w:p>
    <w:sectPr w:rsidR="007E67C3">
      <w:pgSz w:w="12240" w:h="15840" w:orient="portrait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8D09A9"/>
    <w:multiLevelType w:val="multilevel"/>
    <w:tmpl w:val="6EF8B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32E94F3D"/>
    <w:multiLevelType w:val="multilevel"/>
    <w:tmpl w:val="456EE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3CDD1DCF"/>
    <w:multiLevelType w:val="multilevel"/>
    <w:tmpl w:val="8C669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45FA3CAD"/>
    <w:multiLevelType w:val="multilevel"/>
    <w:tmpl w:val="FBB4C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 wp14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22A2"/>
    <w:rsid w:val="005F69CF"/>
    <w:rsid w:val="007403AF"/>
    <w:rsid w:val="007F22A2"/>
    <w:rsid w:val="00863D3F"/>
    <w:rsid w:val="0A090C52"/>
    <w:rsid w:val="6A3943AB"/>
    <w:rsid w:val="6E2DAA09"/>
    <w:rsid w:val="769B3E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3341F1"/>
  <w15:chartTrackingRefBased/>
  <w15:docId w15:val="{81B781A4-7E09-4611-B1E1-CD86FFAD4C0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 wp14">
  <w:docDefaults>
    <w:rPrDefault>
      <w:rPr>
        <w:rFonts w:asciiTheme="minorHAnsi" w:hAnsiTheme="minorHAnsi" w:eastAsia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styleId="Normal" w:default="1">
    <w:name w:val="Normal"/>
    <w:qFormat/>
  </w:style>
  <w:style w:type="character" w:styleId="Fuentedeprrafopredeter" w:default="1">
    <w:name w:val="Default Paragraph Font"/>
    <w:uiPriority w:val="1"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762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95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79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95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97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8187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36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6928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12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666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76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468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0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417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8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493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02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043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71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7410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96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6831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62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4241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94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429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06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35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47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6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52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1759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92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4134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42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453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05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765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3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725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10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3718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9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344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41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789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66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592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5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05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70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292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13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2.xml" Id="rId8" /><Relationship Type="http://schemas.openxmlformats.org/officeDocument/2006/relationships/settings" Target="settings.xml" Id="rId3" /><Relationship Type="http://schemas.openxmlformats.org/officeDocument/2006/relationships/customXml" Target="../customXml/item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../customXml/item3.xml" Id="rId9" 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157D06D9BF21845883178A07635BF0C" ma:contentTypeVersion="10" ma:contentTypeDescription="Crear nuevo documento." ma:contentTypeScope="" ma:versionID="575d623067b72151a8374f2b990c1272">
  <xsd:schema xmlns:xsd="http://www.w3.org/2001/XMLSchema" xmlns:xs="http://www.w3.org/2001/XMLSchema" xmlns:p="http://schemas.microsoft.com/office/2006/metadata/properties" xmlns:ns2="ba7224a4-a1e3-4c3e-badf-085058869b86" xmlns:ns3="4fc427ff-965a-4fb4-bd01-7c253ae8b03b" targetNamespace="http://schemas.microsoft.com/office/2006/metadata/properties" ma:root="true" ma:fieldsID="53e290cc238b21a49accbbf14491a7b2" ns2:_="" ns3:_="">
    <xsd:import namespace="ba7224a4-a1e3-4c3e-badf-085058869b86"/>
    <xsd:import namespace="4fc427ff-965a-4fb4-bd01-7c253ae8b03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7224a4-a1e3-4c3e-badf-085058869b8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e777c97-9e47-4338-8e8a-2390167a358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c427ff-965a-4fb4-bd01-7c253ae8b03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86247468-c4c7-4c67-a550-c3fa8442b9ab}" ma:internalName="TaxCatchAll" ma:showField="CatchAllData" ma:web="4fc427ff-965a-4fb4-bd01-7c253ae8b03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a7224a4-a1e3-4c3e-badf-085058869b86">
      <Terms xmlns="http://schemas.microsoft.com/office/infopath/2007/PartnerControls"/>
    </lcf76f155ced4ddcb4097134ff3c332f>
    <TaxCatchAll xmlns="4fc427ff-965a-4fb4-bd01-7c253ae8b03b" xsi:nil="true"/>
  </documentManagement>
</p:properties>
</file>

<file path=customXml/itemProps1.xml><?xml version="1.0" encoding="utf-8"?>
<ds:datastoreItem xmlns:ds="http://schemas.openxmlformats.org/officeDocument/2006/customXml" ds:itemID="{7CFD3041-32C4-47F8-9734-52CEDA56B5C4}"/>
</file>

<file path=customXml/itemProps2.xml><?xml version="1.0" encoding="utf-8"?>
<ds:datastoreItem xmlns:ds="http://schemas.openxmlformats.org/officeDocument/2006/customXml" ds:itemID="{EC0C98D3-A206-4BF1-93CB-5DDD407754CD}"/>
</file>

<file path=customXml/itemProps3.xml><?xml version="1.0" encoding="utf-8"?>
<ds:datastoreItem xmlns:ds="http://schemas.openxmlformats.org/officeDocument/2006/customXml" ds:itemID="{503C40D9-C6D9-4114-B661-391DC544D6FF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Usuario</dc:creator>
  <keywords/>
  <dc:description/>
  <lastModifiedBy>FILIPPO ANDRE SAMUEL MORENO LOPEZ</lastModifiedBy>
  <revision>4</revision>
  <dcterms:created xsi:type="dcterms:W3CDTF">2026-05-28T05:35:00.0000000Z</dcterms:created>
  <dcterms:modified xsi:type="dcterms:W3CDTF">2026-05-28T13:55:18.4175741Z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0x010100F157D06D9BF21845883178A07635BF0C</vt:lpwstr>
  </property>
  <property fmtid="{D5CDD505-2E9C-101B-9397-08002B2CF9AE}" pid="3" name="MediaServiceImageTags">
    <vt:lpwstr/>
  </property>
</Properties>
</file>