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84827c02f5f47b972a7fd54e95f290a25240c0"/>
    <w:p>
      <w:pPr>
        <w:pStyle w:val="Heading1"/>
      </w:pPr>
      <w:r>
        <w:t xml:space="preserve">Acta de Nombramiento del CISO y Constitución del Comité de Seguridad — NovaRetail SpA</w:t>
      </w:r>
    </w:p>
    <w:p>
      <w:pPr>
        <w:pStyle w:val="BlockText"/>
      </w:pPr>
      <w:r>
        <w:t xml:space="preserve">ISO/IEC 27001:2022 — Cláusula 5.1 (Liderazgo), 5.3 (Roles, responsabilidades y autoridades) · Control Anexo A 5.2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(GV.RR — Roles, Responsibilities and Authorities)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</w:tbl>
    <w:bookmarkEnd w:id="20"/>
    <w:bookmarkStart w:id="21" w:name="antecedentes"/>
    <w:p>
      <w:pPr>
        <w:pStyle w:val="Heading2"/>
      </w:pPr>
      <w:r>
        <w:t xml:space="preserve">2. Antecedentes</w:t>
      </w:r>
    </w:p>
    <w:p>
      <w:pPr>
        <w:pStyle w:val="FirstParagraph"/>
      </w:pPr>
      <w:r>
        <w:t xml:space="preserve">En cumplimiento de las cláusulas 5.1 y 5.3 de ISO/IEC 27001:2022 y de la Ley 21.663, la Gerencia General de</w:t>
      </w:r>
      <w:r>
        <w:t xml:space="preserve"> </w:t>
      </w:r>
      <w:r>
        <w:rPr>
          <w:b/>
          <w:bCs/>
        </w:rPr>
        <w:t xml:space="preserve">NovaRetail SpA</w:t>
      </w:r>
      <w:r>
        <w:t xml:space="preserve"> </w:t>
      </w:r>
      <w:r>
        <w:t xml:space="preserve">designa formalmente al responsable de la seguridad de la información (CISO) y constituye el</w:t>
      </w:r>
      <w:r>
        <w:t xml:space="preserve"> </w:t>
      </w:r>
      <w:r>
        <w:rPr>
          <w:b/>
          <w:bCs/>
        </w:rPr>
        <w:t xml:space="preserve">Comité de Seguridad de la Información</w:t>
      </w:r>
      <w:r>
        <w:t xml:space="preserve"> </w:t>
      </w:r>
      <w:r>
        <w:t xml:space="preserve">como órgano de gobierno del SGSI.</w:t>
      </w:r>
    </w:p>
    <w:bookmarkEnd w:id="21"/>
    <w:bookmarkStart w:id="22" w:name="nombramiento-del-ciso"/>
    <w:p>
      <w:pPr>
        <w:pStyle w:val="Heading2"/>
      </w:pPr>
      <w:r>
        <w:t xml:space="preserve">3. Nombramiento del CISO</w:t>
      </w:r>
    </w:p>
    <w:p>
      <w:pPr>
        <w:pStyle w:val="FirstParagraph"/>
      </w:pPr>
      <w:r>
        <w:t xml:space="preserve">Se designa como</w:t>
      </w:r>
      <w:r>
        <w:t xml:space="preserve"> </w:t>
      </w:r>
      <w:r>
        <w:rPr>
          <w:b/>
          <w:bCs/>
        </w:rPr>
        <w:t xml:space="preserve">Encargado de Ciberseguridad / CISO</w:t>
      </w:r>
      <w:r>
        <w:t xml:space="preserve"> </w:t>
      </w:r>
      <w:r>
        <w:t xml:space="preserve">a la persona que ocupa dicho cargo, con las siguientes</w:t>
      </w:r>
      <w:r>
        <w:t xml:space="preserve"> </w:t>
      </w:r>
      <w:r>
        <w:rPr>
          <w:b/>
          <w:bCs/>
        </w:rPr>
        <w:t xml:space="preserve">autoridades y responsabilidades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Liderar la implementación, operación y mejora del SGSI.</w:t>
      </w:r>
    </w:p>
    <w:p>
      <w:pPr>
        <w:pStyle w:val="Compact"/>
        <w:numPr>
          <w:ilvl w:val="0"/>
          <w:numId w:val="1001"/>
        </w:numPr>
      </w:pPr>
      <w:r>
        <w:t xml:space="preserve">Mantener la Matriz de Riesgos, el Plan de Tratamiento y el SoA.</w:t>
      </w:r>
    </w:p>
    <w:p>
      <w:pPr>
        <w:pStyle w:val="Compact"/>
        <w:numPr>
          <w:ilvl w:val="0"/>
          <w:numId w:val="1001"/>
        </w:numPr>
      </w:pPr>
      <w:r>
        <w:t xml:space="preserve">Activar el equipo de respuesta y</w:t>
      </w:r>
      <w:r>
        <w:t xml:space="preserve"> </w:t>
      </w:r>
      <w:r>
        <w:rPr>
          <w:b/>
          <w:bCs/>
        </w:rPr>
        <w:t xml:space="preserve">autorizar la notificación de incidentes a la ANCI</w:t>
      </w:r>
      <w:r>
        <w:t xml:space="preserve"> </w:t>
      </w:r>
      <w:r>
        <w:t xml:space="preserve">(Ley 21.663).</w:t>
      </w:r>
    </w:p>
    <w:p>
      <w:pPr>
        <w:pStyle w:val="Compact"/>
        <w:numPr>
          <w:ilvl w:val="0"/>
          <w:numId w:val="1001"/>
        </w:numPr>
      </w:pPr>
      <w:r>
        <w:t xml:space="preserve">Reportar el desempeño del SGSI a la Gerencia General.</w:t>
      </w:r>
    </w:p>
    <w:p>
      <w:pPr>
        <w:pStyle w:val="Compact"/>
        <w:numPr>
          <w:ilvl w:val="0"/>
          <w:numId w:val="1001"/>
        </w:numPr>
      </w:pPr>
      <w:r>
        <w:t xml:space="preserve">Actuar como punto de contacto ante la ANCI, el CSIRT Nacional y las autoridades.</w:t>
      </w:r>
    </w:p>
    <w:p>
      <w:pPr>
        <w:pStyle w:val="BlockText"/>
      </w:pPr>
      <w:r>
        <w:rPr>
          <w:i/>
          <w:iCs/>
        </w:rPr>
        <w:t xml:space="preserve">Nota: el CISO debe mantener independencia respecto de las áreas que audita (segregación de funciones, POL-SGSI-01).</w:t>
      </w:r>
    </w:p>
    <w:bookmarkEnd w:id="22"/>
    <w:bookmarkStart w:id="26" w:name="constitución-del-comité-de-seguridad"/>
    <w:p>
      <w:pPr>
        <w:pStyle w:val="Heading2"/>
      </w:pPr>
      <w:r>
        <w:t xml:space="preserve">4. Constitución del Comité de Seguridad</w:t>
      </w:r>
    </w:p>
    <w:bookmarkStart w:id="23" w:name="integrantes"/>
    <w:p>
      <w:pPr>
        <w:pStyle w:val="Heading3"/>
      </w:pPr>
      <w:r>
        <w:t xml:space="preserve">4.1 Integrantes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en el Comité</w:t>
            </w:r>
          </w:p>
        </w:tc>
        <w:tc>
          <w:tcPr/>
          <w:p>
            <w:pPr>
              <w:pStyle w:val="Compact"/>
            </w:pPr>
            <w:r>
              <w:t xml:space="preserve">Cargo organizacional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Presidente (patrocinador)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Secretario ejecutivo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Vocal — Tecnología</w:t>
            </w:r>
          </w:p>
        </w:tc>
        <w:tc>
          <w:tcPr/>
          <w:p>
            <w:pPr>
              <w:pStyle w:val="Compact"/>
            </w:pPr>
            <w:r>
              <w:t xml:space="preserve">Gerencia / Infraestructura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Vocal — Personas</w:t>
            </w:r>
          </w:p>
        </w:tc>
        <w:tc>
          <w:tcPr/>
          <w:p>
            <w:pPr>
              <w:pStyle w:val="Compact"/>
            </w:pPr>
            <w:r>
              <w:t xml:space="preserve">Encargado de RRHH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Vocal — Legal / Datos</w:t>
            </w:r>
          </w:p>
        </w:tc>
        <w:tc>
          <w:tcPr/>
          <w:p>
            <w:pPr>
              <w:pStyle w:val="Compact"/>
            </w:pPr>
            <w:r>
              <w:t xml:space="preserve">Delegado de Protección de Datos (DPO)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Vocal — Operaciones</w:t>
            </w:r>
          </w:p>
        </w:tc>
        <w:tc>
          <w:tcPr/>
          <w:p>
            <w:pPr>
              <w:pStyle w:val="Compact"/>
            </w:pPr>
            <w:r>
              <w:t xml:space="preserve">Gerencia de Operaciones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Vocal — Finanzas/Compras</w:t>
            </w:r>
          </w:p>
        </w:tc>
        <w:tc>
          <w:tcPr/>
          <w:p>
            <w:pPr>
              <w:pStyle w:val="Compact"/>
            </w:pPr>
            <w:r>
              <w:t xml:space="preserve">Gerencia de Finanzas / Adquisiciones</w:t>
            </w:r>
          </w:p>
        </w:tc>
      </w:tr>
    </w:tbl>
    <w:bookmarkEnd w:id="23"/>
    <w:bookmarkStart w:id="24" w:name="funciones-del-comité"/>
    <w:p>
      <w:pPr>
        <w:pStyle w:val="Heading3"/>
      </w:pPr>
      <w:r>
        <w:t xml:space="preserve">4.2 Funciones del Comité</w:t>
      </w:r>
    </w:p>
    <w:p>
      <w:pPr>
        <w:pStyle w:val="Compact"/>
        <w:numPr>
          <w:ilvl w:val="0"/>
          <w:numId w:val="1002"/>
        </w:numPr>
      </w:pPr>
      <w:r>
        <w:t xml:space="preserve">Aprobar políticas, alcance, objetivos y el SoA.</w:t>
      </w:r>
    </w:p>
    <w:p>
      <w:pPr>
        <w:pStyle w:val="Compact"/>
        <w:numPr>
          <w:ilvl w:val="0"/>
          <w:numId w:val="1002"/>
        </w:numPr>
      </w:pPr>
      <w:r>
        <w:t xml:space="preserve">Revisar el estado de los riesgos y priorizar el tratamiento.</w:t>
      </w:r>
    </w:p>
    <w:p>
      <w:pPr>
        <w:pStyle w:val="Compact"/>
        <w:numPr>
          <w:ilvl w:val="0"/>
          <w:numId w:val="1002"/>
        </w:numPr>
      </w:pPr>
      <w:r>
        <w:t xml:space="preserve">Asignar recursos y supervisar los planes de acción.</w:t>
      </w:r>
    </w:p>
    <w:p>
      <w:pPr>
        <w:pStyle w:val="Compact"/>
        <w:numPr>
          <w:ilvl w:val="0"/>
          <w:numId w:val="1002"/>
        </w:numPr>
      </w:pPr>
      <w:r>
        <w:t xml:space="preserve">Realizar la</w:t>
      </w:r>
      <w:r>
        <w:t xml:space="preserve"> </w:t>
      </w:r>
      <w:r>
        <w:rPr>
          <w:b/>
          <w:bCs/>
        </w:rPr>
        <w:t xml:space="preserve">Revisión por la Dirección</w:t>
      </w:r>
      <w:r>
        <w:t xml:space="preserve"> </w:t>
      </w:r>
      <w:r>
        <w:t xml:space="preserve">(cl. 9.3).</w:t>
      </w:r>
    </w:p>
    <w:bookmarkEnd w:id="24"/>
    <w:bookmarkStart w:id="25" w:name="régimen-de-sesiones"/>
    <w:p>
      <w:pPr>
        <w:pStyle w:val="Heading3"/>
      </w:pPr>
      <w:r>
        <w:t xml:space="preserve">4.3 Régimen de sesiones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Ordinarias:</w:t>
      </w:r>
      <w:r>
        <w:t xml:space="preserve"> </w:t>
      </w:r>
      <w:r>
        <w:t xml:space="preserve">trimestrales.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Extraordinarias:</w:t>
      </w:r>
      <w:r>
        <w:t xml:space="preserve"> </w:t>
      </w:r>
      <w:r>
        <w:t xml:space="preserve">ante incidentes graves (N3) o cambios significativos.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Quórum:</w:t>
      </w:r>
      <w:r>
        <w:t xml:space="preserve"> </w:t>
      </w:r>
      <w:r>
        <w:t xml:space="preserve">mayoría simple, con presencia obligatoria del CISO.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Evidencia:</w:t>
      </w:r>
      <w:r>
        <w:t xml:space="preserve"> </w:t>
      </w:r>
      <w:r>
        <w:t xml:space="preserve">cada sesión genera un acta firmada (registro de auditoría).</w:t>
      </w:r>
    </w:p>
    <w:bookmarkEnd w:id="25"/>
    <w:bookmarkEnd w:id="26"/>
    <w:bookmarkStart w:id="27" w:name="vigencia"/>
    <w:p>
      <w:pPr>
        <w:pStyle w:val="Heading2"/>
      </w:pPr>
      <w:r>
        <w:t xml:space="preserve">5. Vigencia</w:t>
      </w:r>
    </w:p>
    <w:p>
      <w:pPr>
        <w:pStyle w:val="FirstParagraph"/>
      </w:pPr>
      <w:r>
        <w:t xml:space="preserve">El presente nombramiento rige desde su fecha de emisión y se mantiene vigente hasta su revisión o reemplazo formal.</w:t>
      </w:r>
    </w:p>
    <w:bookmarkEnd w:id="27"/>
    <w:bookmarkStart w:id="28" w:name="firmas"/>
    <w:p>
      <w:pPr>
        <w:pStyle w:val="Heading2"/>
      </w:pPr>
      <w:r>
        <w:t xml:space="preserve">6. Firmas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</w:tbl>
    <w:bookmarkEnd w:id="28"/>
    <w:bookmarkStart w:id="29" w:name="control-de-cambios"/>
    <w:p>
      <w:pPr>
        <w:pStyle w:val="Heading2"/>
      </w:pPr>
      <w:r>
        <w:t xml:space="preserve">7.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2026-06-18T01:26:54Z</dcterms:created>
  <dcterms:modified xsi:type="dcterms:W3CDTF">2026-06-18T01:26:54Z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