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859c89a8b685811d1909bc4f7c0381915dd28c"/>
    <w:p>
      <w:pPr>
        <w:pStyle w:val="Heading1"/>
      </w:pPr>
      <w:r>
        <w:t xml:space="preserve">Declaración de Alcance del SGSI — NovaRetail SpA</w:t>
      </w:r>
    </w:p>
    <w:p>
      <w:pPr>
        <w:pStyle w:val="BlockText"/>
      </w:pPr>
      <w:r>
        <w:t xml:space="preserve">ISO/IEC 27001:2022 — Cláusula 4.3 «Determinación del alcance del sistema de gestión de la seguridad de la información»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(GV.OC — Organizational Context)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Definir los límites y la aplicabilidad del Sistema de Gestión de Seguridad de la Información (SGSI) de</w:t>
      </w:r>
      <w:r>
        <w:t xml:space="preserve"> </w:t>
      </w:r>
      <w:r>
        <w:rPr>
          <w:b/>
          <w:bCs/>
        </w:rPr>
        <w:t xml:space="preserve">NovaRetail SpA</w:t>
      </w:r>
      <w:r>
        <w:t xml:space="preserve">, estableciendo qué procesos, activos, ubicaciones y tecnologías quedan cubiertos, en cumplimiento de la cláusula 4.3 de ISO/IEC 27001:2022.</w:t>
      </w:r>
    </w:p>
    <w:bookmarkEnd w:id="21"/>
    <w:bookmarkStart w:id="23" w:name="contexto-de-la-organización-cl.-4.1"/>
    <w:p>
      <w:pPr>
        <w:pStyle w:val="Heading2"/>
      </w:pPr>
      <w:r>
        <w:t xml:space="preserve">3. Contexto de la organización (cl. 4.1)</w:t>
      </w:r>
    </w:p>
    <w:p>
      <w:pPr>
        <w:pStyle w:val="FirstParagraph"/>
      </w:pPr>
      <w:r>
        <w:t xml:space="preserve">NovaRetail SpA es una empresa chilena de</w:t>
      </w:r>
      <w:r>
        <w:t xml:space="preserve"> </w:t>
      </w:r>
      <w:r>
        <w:rPr>
          <w:b/>
          <w:bCs/>
        </w:rPr>
        <w:t xml:space="preserve">retail</w:t>
      </w:r>
      <w:r>
        <w:t xml:space="preserve"> </w:t>
      </w:r>
      <w:r>
        <w:t xml:space="preserve">con canal físico y</w:t>
      </w:r>
      <w:r>
        <w:t xml:space="preserve"> </w:t>
      </w:r>
      <w:r>
        <w:rPr>
          <w:b/>
          <w:bCs/>
        </w:rPr>
        <w:t xml:space="preserve">comercio electrónico</w:t>
      </w:r>
      <w:r>
        <w:t xml:space="preserve">, que procesa</w:t>
      </w:r>
      <w:r>
        <w:t xml:space="preserve"> </w:t>
      </w:r>
      <w:r>
        <w:rPr>
          <w:b/>
          <w:bCs/>
        </w:rPr>
        <w:t xml:space="preserve">pagos con tarjeta</w:t>
      </w:r>
      <w:r>
        <w:t xml:space="preserve"> </w:t>
      </w:r>
      <w:r>
        <w:t xml:space="preserve">(alcance PCI DSS v4.0) y</w:t>
      </w:r>
      <w:r>
        <w:t xml:space="preserve"> </w:t>
      </w:r>
      <w:r>
        <w:rPr>
          <w:b/>
          <w:bCs/>
        </w:rPr>
        <w:t xml:space="preserve">datos personales</w:t>
      </w:r>
      <w:r>
        <w:t xml:space="preserve"> </w:t>
      </w:r>
      <w:r>
        <w:t xml:space="preserve">de clientes (Ley 19.628). Por su rol en la distribución de bienes esenciales, puede ser calificada como</w:t>
      </w:r>
      <w:r>
        <w:t xml:space="preserve"> </w:t>
      </w:r>
      <w:r>
        <w:rPr>
          <w:b/>
          <w:bCs/>
        </w:rPr>
        <w:t xml:space="preserve">Operador de Importancia Vital (OIV)</w:t>
      </w:r>
      <w:r>
        <w:t xml:space="preserve"> </w:t>
      </w:r>
      <w:r>
        <w:t xml:space="preserve">bajo la</w:t>
      </w:r>
      <w:r>
        <w:t xml:space="preserve"> </w:t>
      </w:r>
      <w:r>
        <w:rPr>
          <w:b/>
          <w:bCs/>
        </w:rPr>
        <w:t xml:space="preserve">Ley 21.663</w:t>
      </w:r>
      <w:r>
        <w:t xml:space="preserve">, lo que la obliga a reportar incidentes a la</w:t>
      </w:r>
      <w:r>
        <w:t xml:space="preserve"> </w:t>
      </w:r>
      <w:r>
        <w:rPr>
          <w:b/>
          <w:bCs/>
        </w:rPr>
        <w:t xml:space="preserve">ANCI</w:t>
      </w:r>
      <w:r>
        <w:t xml:space="preserve">.</w:t>
      </w:r>
    </w:p>
    <w:bookmarkStart w:id="22" w:name="X891709fe49ca44f477d76f437ea96800d55fd6e"/>
    <w:p>
      <w:pPr>
        <w:pStyle w:val="Heading3"/>
      </w:pPr>
      <w:r>
        <w:t xml:space="preserve">Cuestiones internas y externas relevantes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Cuestiones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Internas</w:t>
            </w:r>
          </w:p>
        </w:tc>
        <w:tc>
          <w:tcPr/>
          <w:p>
            <w:pPr>
              <w:pStyle w:val="Compact"/>
            </w:pPr>
            <w:r>
              <w:t xml:space="preserve">Operación multi-sede (Santiago / La Serena), desarrollo propio del portal, equipo TI reducido, dependencia de proveedores críticos (pasarela de pago, logística).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Externas</w:t>
            </w:r>
          </w:p>
        </w:tc>
        <w:tc>
          <w:tcPr/>
          <w:p>
            <w:pPr>
              <w:pStyle w:val="Compact"/>
            </w:pPr>
            <w:r>
              <w:t xml:space="preserve">Ley 21.663 y fiscalización ANCI, Ley 19.628 (datos personales), PCI DSS, amenazas de ransomware/phishing al retail, estacionalidad (CyberDay).</w:t>
            </w:r>
          </w:p>
        </w:tc>
      </w:tr>
    </w:tbl>
    <w:bookmarkEnd w:id="22"/>
    <w:bookmarkEnd w:id="23"/>
    <w:bookmarkStart w:id="24" w:name="partes-interesadas-y-requisitos-cl.-4.2"/>
    <w:p>
      <w:pPr>
        <w:pStyle w:val="Heading2"/>
      </w:pPr>
      <w:r>
        <w:t xml:space="preserve">4. Partes interesadas y requisitos (cl. 4.2)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 interesada</w:t>
            </w:r>
          </w:p>
        </w:tc>
        <w:tc>
          <w:tcPr/>
          <w:p>
            <w:pPr>
              <w:pStyle w:val="Compact"/>
            </w:pPr>
            <w:r>
              <w:t xml:space="preserve">Requisito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Confidencialidad e integridad de sus datos personales y de 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ANCI / Estado (Ley 21.663)</w:t>
            </w:r>
          </w:p>
        </w:tc>
        <w:tc>
          <w:tcPr/>
          <w:p>
            <w:pPr>
              <w:pStyle w:val="Compact"/>
            </w:pPr>
            <w:r>
              <w:t xml:space="preserve">Notificación de incidentes (3 h / 72 h / 15 días) y gestión de riesgos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Marcas de tarjetas (PCI DSS)</w:t>
            </w:r>
          </w:p>
        </w:tc>
        <w:tc>
          <w:tcPr/>
          <w:p>
            <w:pPr>
              <w:pStyle w:val="Compact"/>
            </w:pPr>
            <w:r>
              <w:t xml:space="preserve">Protección de datos de tarjetahabientes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Gerencia / Accionistas</w:t>
            </w:r>
          </w:p>
        </w:tc>
        <w:tc>
          <w:tcPr/>
          <w:p>
            <w:pPr>
              <w:pStyle w:val="Compact"/>
            </w:pPr>
            <w:r>
              <w:t xml:space="preserve">Continuidad operacional y protección de la reputación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Empleados y contratistas</w:t>
            </w:r>
          </w:p>
        </w:tc>
        <w:tc>
          <w:tcPr/>
          <w:p>
            <w:pPr>
              <w:pStyle w:val="Compact"/>
            </w:pPr>
            <w:r>
              <w:t xml:space="preserve">Reglas claras de uso y protección de la 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Proveedores críticos</w:t>
            </w:r>
          </w:p>
        </w:tc>
        <w:tc>
          <w:tcPr/>
          <w:p>
            <w:pPr>
              <w:pStyle w:val="Compact"/>
            </w:pPr>
            <w:r>
              <w:t xml:space="preserve">Cláusulas de seguridad y niveles de servicio</w:t>
            </w:r>
          </w:p>
        </w:tc>
      </w:tr>
    </w:tbl>
    <w:bookmarkEnd w:id="24"/>
    <w:bookmarkStart w:id="28" w:name="alcance-del-sgsi-cl.-4.3"/>
    <w:p>
      <w:pPr>
        <w:pStyle w:val="Heading2"/>
      </w:pPr>
      <w:r>
        <w:t xml:space="preserve">5. Alcance del SGSI (cl. 4.3)</w:t>
      </w:r>
    </w:p>
    <w:p>
      <w:pPr>
        <w:pStyle w:val="FirstParagraph"/>
      </w:pPr>
      <w:r>
        <w:t xml:space="preserve">El SGSI</w:t>
      </w:r>
      <w:r>
        <w:t xml:space="preserve"> </w:t>
      </w:r>
      <w:r>
        <w:rPr>
          <w:b/>
          <w:bCs/>
        </w:rPr>
        <w:t xml:space="preserve">aplica a</w:t>
      </w:r>
      <w:r>
        <w:t xml:space="preserve"> </w:t>
      </w:r>
      <w:r>
        <w:t xml:space="preserve">la protección de la confidencialidad, integridad y disponibilidad de la información asociada a los procesos de</w:t>
      </w:r>
      <w:r>
        <w:t xml:space="preserve"> </w:t>
      </w:r>
      <w:r>
        <w:rPr>
          <w:b/>
          <w:bCs/>
        </w:rPr>
        <w:t xml:space="preserve">venta presencial y e-commerce, procesamiento de pagos, gestión de inventario y logística, y soporte a clientes</w:t>
      </w:r>
      <w:r>
        <w:t xml:space="preserve"> </w:t>
      </w:r>
      <w:r>
        <w:t xml:space="preserve">de NovaRetail SpA.</w:t>
      </w:r>
    </w:p>
    <w:bookmarkStart w:id="25" w:name="ubicaciones-incluidas"/>
    <w:p>
      <w:pPr>
        <w:pStyle w:val="Heading3"/>
      </w:pPr>
      <w:r>
        <w:t xml:space="preserve">5.1 Ubicaciones incluidas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Oficinas centrales — Santiago (Región Metropolitana)</w:t>
      </w:r>
      <w:r>
        <w:t xml:space="preserve">: administración, finanzas, gobierno del SGSI y firma de contratos estratégicos.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Bodega y operación regional — La Serena (Región de Coquimbo)</w:t>
      </w:r>
      <w:r>
        <w:t xml:space="preserve">: recepción, despacho, inventario y soporte operativo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Servicios en la nube</w:t>
      </w:r>
      <w:r>
        <w:t xml:space="preserve">: Microsoft 365 / Google Workspace y la infraestructura IaaS del portal.</w:t>
      </w:r>
    </w:p>
    <w:bookmarkEnd w:id="25"/>
    <w:bookmarkStart w:id="26" w:name="procesos-y-activos-incluidos"/>
    <w:p>
      <w:pPr>
        <w:pStyle w:val="Heading3"/>
      </w:pPr>
      <w:r>
        <w:t xml:space="preserve">5.2 Procesos y activos incluidos</w:t>
      </w:r>
    </w:p>
    <w:p>
      <w:pPr>
        <w:pStyle w:val="FirstParagraph"/>
      </w:pPr>
      <w:r>
        <w:t xml:space="preserve">Portal e-commerce, ERP/gestión de pedidos, bases de datos de clientes e inventario, pasarela de pago (Transbank/Webpay), correo corporativo, red corporativa (LAN/Wi-Fi), firewall perimetral, respaldos, estaciones de trabajo y cuentas privilegiadas.</w:t>
      </w:r>
      <w:r>
        <w:t xml:space="preserve"> </w:t>
      </w:r>
      <w:r>
        <w:rPr>
          <w:i/>
          <w:iCs/>
        </w:rPr>
        <w:t xml:space="preserve">(Ver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04-analisis/</w:t>
      </w:r>
      <w:r>
        <w:rPr>
          <w:i/>
          <w:iCs/>
        </w:rPr>
        <w:t xml:space="preserve"> </w:t>
      </w:r>
      <w:r>
        <w:rPr>
          <w:i/>
          <w:iCs/>
        </w:rPr>
        <w:t xml:space="preserve">— Inventario de Activos.)</w:t>
      </w:r>
    </w:p>
    <w:bookmarkEnd w:id="26"/>
    <w:bookmarkStart w:id="27" w:name="exclusiones-y-justificación"/>
    <w:p>
      <w:pPr>
        <w:pStyle w:val="Heading3"/>
      </w:pPr>
      <w:r>
        <w:t xml:space="preserve">5.3 Exclusiones y justificación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Infraestructura interna de la pasarela de pago</w:t>
      </w:r>
      <w:r>
        <w:t xml:space="preserve">: gestionada por el proveedor externo (Transbank/Webpay); NovaRetail controla la</w:t>
      </w:r>
      <w:r>
        <w:t xml:space="preserve"> </w:t>
      </w:r>
      <w:r>
        <w:rPr>
          <w:b/>
          <w:bCs/>
        </w:rPr>
        <w:t xml:space="preserve">integración y las llaves API</w:t>
      </w:r>
      <w:r>
        <w:t xml:space="preserve">, no la plataforma del tercero. La seguridad del proveedor se gobierna vía</w:t>
      </w:r>
      <w:r>
        <w:t xml:space="preserve"> </w:t>
      </w:r>
      <w:r>
        <w:rPr>
          <w:b/>
          <w:bCs/>
        </w:rPr>
        <w:t xml:space="preserve">POL-SGSI-13 / PROC-SGSI-14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Tiendas físicas de terceros / franquicias</w:t>
      </w:r>
      <w:r>
        <w:t xml:space="preserve"> </w:t>
      </w:r>
      <w:r>
        <w:t xml:space="preserve">(si aplica): fuera del control directo de NovaRetail.</w:t>
      </w:r>
    </w:p>
    <w:bookmarkEnd w:id="27"/>
    <w:bookmarkEnd w:id="28"/>
    <w:bookmarkStart w:id="29" w:name="interfaces-y-dependencias"/>
    <w:p>
      <w:pPr>
        <w:pStyle w:val="Heading2"/>
      </w:pPr>
      <w:r>
        <w:t xml:space="preserve">6. Interfaces y dependencias</w:t>
      </w:r>
    </w:p>
    <w:p>
      <w:pPr>
        <w:pStyle w:val="FirstParagraph"/>
      </w:pPr>
      <w:r>
        <w:t xml:space="preserve">El SGSI depende de servicios de terceros (pasarela de pago, logística, nube). Estas interfaces se gestionan mediante contratos con cláusulas de seguridad, derecho de auditoría y SLA de respuesta a incidentes compatibles con la Ley 21.663.</w:t>
      </w:r>
    </w:p>
    <w:bookmarkEnd w:id="29"/>
    <w:bookmarkStart w:id="30" w:name="documentos-relacionados"/>
    <w:p>
      <w:pPr>
        <w:pStyle w:val="Heading2"/>
      </w:pPr>
      <w:r>
        <w:t xml:space="preserve">7. Documentos relacionados</w:t>
      </w:r>
    </w:p>
    <w:p>
      <w:pPr>
        <w:pStyle w:val="Compact"/>
        <w:numPr>
          <w:ilvl w:val="0"/>
          <w:numId w:val="1003"/>
        </w:numPr>
      </w:pPr>
      <w:r>
        <w:t xml:space="preserve">Política General de Seguridad (GOB-SGSI-02)</w:t>
      </w:r>
    </w:p>
    <w:p>
      <w:pPr>
        <w:pStyle w:val="Compact"/>
        <w:numPr>
          <w:ilvl w:val="0"/>
          <w:numId w:val="1003"/>
        </w:numPr>
      </w:pPr>
      <w:r>
        <w:t xml:space="preserve">Inventario de Activos, Matriz de Riesgos y SoA (</w:t>
      </w:r>
      <w:r>
        <w:rPr>
          <w:rStyle w:val="VerbatimChar"/>
        </w:rPr>
        <w:t xml:space="preserve">04-analisis/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Las 15 políticas (POL-SGSI-01 a 15) y 18 procedimientos (PROC-SGSI-01 a 18)</w:t>
      </w:r>
    </w:p>
    <w:bookmarkEnd w:id="30"/>
    <w:bookmarkStart w:id="31" w:name="control-de-cambios"/>
    <w:p>
      <w:pPr>
        <w:pStyle w:val="Heading2"/>
      </w:pPr>
      <w:r>
        <w:t xml:space="preserve">8.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2026-06-18T01:26:54Z</dcterms:created>
  <dcterms:modified xsi:type="dcterms:W3CDTF">2026-06-18T01:26:54Z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