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triz-raci-del-sgsi-novaretail-spa"/>
    <w:p>
      <w:pPr>
        <w:pStyle w:val="Heading1"/>
      </w:pPr>
      <w:r>
        <w:t xml:space="preserve">Matriz RACI del SGSI — NovaRetail SpA</w:t>
      </w:r>
    </w:p>
    <w:p>
      <w:pPr>
        <w:pStyle w:val="BlockText"/>
      </w:pPr>
      <w:r>
        <w:t xml:space="preserve">ISO/IEC 27001:2022 — Cláusula 5.3 (Roles, responsabilidades y autoridades) · Control Anexo A 5.2, 5.3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GOVERN (GV.RR)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GOB-SGSI-04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Gerencia General</w:t>
            </w:r>
          </w:p>
        </w:tc>
      </w:tr>
    </w:tbl>
    <w:bookmarkEnd w:id="20"/>
    <w:bookmarkStart w:id="21" w:name="convención"/>
    <w:p>
      <w:pPr>
        <w:pStyle w:val="Heading2"/>
      </w:pPr>
      <w:r>
        <w:t xml:space="preserve">2. Convención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= Responsable (ejecuta) ·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Aprobador /</w:t>
      </w:r>
      <w:r>
        <w:t xml:space="preserve"> </w:t>
      </w:r>
      <w:r>
        <w:rPr>
          <w:i/>
          <w:iCs/>
        </w:rPr>
        <w:t xml:space="preserve">Accountable</w:t>
      </w:r>
      <w:r>
        <w:t xml:space="preserve"> </w:t>
      </w:r>
      <w:r>
        <w:t xml:space="preserve">(rinde cuentas, uno solo) ·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Consultado ·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Informado</w:t>
      </w:r>
    </w:p>
    <w:bookmarkEnd w:id="21"/>
    <w:bookmarkStart w:id="22" w:name="roles"/>
    <w:p>
      <w:pPr>
        <w:pStyle w:val="Heading2"/>
      </w:pPr>
      <w:r>
        <w:t xml:space="preserve">3.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Gerencia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Encargado de Ciberseguridad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Comité SGSI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Gerencia / Infraestructura 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Jefe de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Recursos Humanos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Delegado de Protección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ADQ</w:t>
            </w:r>
          </w:p>
        </w:tc>
        <w:tc>
          <w:tcPr/>
          <w:p>
            <w:pPr>
              <w:pStyle w:val="Compact"/>
            </w:pPr>
            <w:r>
              <w:t xml:space="preserve">Adquisiciones / Compras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Auditoría Interna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Dueños de activos / Jefaturas</w:t>
            </w:r>
          </w:p>
        </w:tc>
      </w:tr>
    </w:tbl>
    <w:bookmarkEnd w:id="22"/>
    <w:bookmarkStart w:id="23" w:name="matriz-raci-por-proceso-del-sgsi"/>
    <w:p>
      <w:pPr>
        <w:pStyle w:val="Heading2"/>
      </w:pPr>
      <w:r>
        <w:t xml:space="preserve">4. Matriz RACI por proceso del SGSI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Proceso / Actividad</w:t>
            </w:r>
          </w:p>
        </w:tc>
        <w:tc>
          <w:tcPr/>
          <w:p>
            <w:pPr>
              <w:pStyle w:val="Compact"/>
            </w:pPr>
            <w:r>
              <w:t xml:space="preserve">Doc. SGSI</w:t>
            </w:r>
          </w:p>
        </w:tc>
        <w:tc>
          <w:tcPr/>
          <w:p>
            <w:pPr>
              <w:pStyle w:val="Compact"/>
            </w:pPr>
            <w: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ADQ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Definir y aprobar el Alcance del SGSI</w:t>
            </w:r>
          </w:p>
        </w:tc>
        <w:tc>
          <w:tcPr/>
          <w:p>
            <w:pPr>
              <w:pStyle w:val="Compact"/>
            </w:pPr>
            <w:r>
              <w:t xml:space="preserve">GOB-01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Aprobar la Política General de Seguridad</w:t>
            </w:r>
          </w:p>
        </w:tc>
        <w:tc>
          <w:tcPr/>
          <w:p>
            <w:pPr>
              <w:pStyle w:val="Compact"/>
            </w:pPr>
            <w:r>
              <w:t xml:space="preserve">GOB-02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Nombrar CISO y constituir el Comité</w:t>
            </w:r>
          </w:p>
        </w:tc>
        <w:tc>
          <w:tcPr/>
          <w:p>
            <w:pPr>
              <w:pStyle w:val="Compact"/>
            </w:pPr>
            <w:r>
              <w:t xml:space="preserve">GOB-03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Mantener la Matriz RACI</w:t>
            </w:r>
          </w:p>
        </w:tc>
        <w:tc>
          <w:tcPr/>
          <w:p>
            <w:pPr>
              <w:pStyle w:val="Compact"/>
            </w:pPr>
            <w:r>
              <w:t xml:space="preserve">GOB-04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Evaluación de riesgos (Matriz R-01..17)</w:t>
            </w:r>
          </w:p>
        </w:tc>
        <w:tc>
          <w:tcPr/>
          <w:p>
            <w:pPr>
              <w:pStyle w:val="Compact"/>
            </w:pPr>
            <w:r>
              <w:t xml:space="preserve">04-analisis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Plan de tratamiento y SoA</w:t>
            </w:r>
          </w:p>
        </w:tc>
        <w:tc>
          <w:tcPr/>
          <w:p>
            <w:pPr>
              <w:pStyle w:val="Compact"/>
            </w:pPr>
            <w:r>
              <w:t xml:space="preserve">04-analisis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Gestión de accesos (alta/baja/revisión)</w:t>
            </w:r>
          </w:p>
        </w:tc>
        <w:tc>
          <w:tcPr/>
          <w:p>
            <w:pPr>
              <w:pStyle w:val="Compact"/>
            </w:pPr>
            <w:r>
              <w:t xml:space="preserve">POL-01, PROC-06/07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Autenticación y gestor de contraseñas</w:t>
            </w:r>
          </w:p>
        </w:tc>
        <w:tc>
          <w:tcPr/>
          <w:p>
            <w:pPr>
              <w:pStyle w:val="Compact"/>
            </w:pPr>
            <w:r>
              <w:t xml:space="preserve">POL-02, PROC-08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Respaldo y recuperación</w:t>
            </w:r>
          </w:p>
        </w:tc>
        <w:tc>
          <w:tcPr/>
          <w:p>
            <w:pPr>
              <w:pStyle w:val="Compact"/>
            </w:pPr>
            <w:r>
              <w:t xml:space="preserve">POL-03, PROC-02/03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Protección contra malware</w:t>
            </w:r>
          </w:p>
        </w:tc>
        <w:tc>
          <w:tcPr/>
          <w:p>
            <w:pPr>
              <w:pStyle w:val="Compact"/>
            </w:pPr>
            <w:r>
              <w:t xml:space="preserve">POL-04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Gestión de parches y vulnerabilidades</w:t>
            </w:r>
          </w:p>
        </w:tc>
        <w:tc>
          <w:tcPr/>
          <w:p>
            <w:pPr>
              <w:pStyle w:val="Compact"/>
            </w:pPr>
            <w:r>
              <w:t xml:space="preserve">POL-05/09, PROC-01/11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Seguridad de red y firewall</w:t>
            </w:r>
          </w:p>
        </w:tc>
        <w:tc>
          <w:tcPr/>
          <w:p>
            <w:pPr>
              <w:pStyle w:val="Compact"/>
            </w:pPr>
            <w:r>
              <w:t xml:space="preserve">POL-07, PROC-09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Registro, monitoreo y alertas</w:t>
            </w:r>
          </w:p>
        </w:tc>
        <w:tc>
          <w:tcPr/>
          <w:p>
            <w:pPr>
              <w:pStyle w:val="Compact"/>
            </w:pPr>
            <w:r>
              <w:t xml:space="preserve">POL-08, PROC-10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Clasificación y manejo de información</w:t>
            </w:r>
          </w:p>
        </w:tc>
        <w:tc>
          <w:tcPr/>
          <w:p>
            <w:pPr>
              <w:pStyle w:val="Compact"/>
            </w:pPr>
            <w:r>
              <w:t xml:space="preserve">POL-10, PROC-12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Cifrado de datos</w:t>
            </w:r>
          </w:p>
        </w:tc>
        <w:tc>
          <w:tcPr/>
          <w:p>
            <w:pPr>
              <w:pStyle w:val="Compact"/>
            </w:pPr>
            <w:r>
              <w:t xml:space="preserve">POL-12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Gestión de incidentes y reporte ANCI</w:t>
            </w:r>
          </w:p>
        </w:tc>
        <w:tc>
          <w:tcPr/>
          <w:p>
            <w:pPr>
              <w:pStyle w:val="Compact"/>
            </w:pPr>
            <w:r>
              <w:t xml:space="preserve">POL-11, PROC-05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Gestión de proveedores y terceros</w:t>
            </w:r>
          </w:p>
        </w:tc>
        <w:tc>
          <w:tcPr/>
          <w:p>
            <w:pPr>
              <w:pStyle w:val="Compact"/>
            </w:pPr>
            <w:r>
              <w:t xml:space="preserve">POL-13, PROC-14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Contratación y desvinculación</w:t>
            </w:r>
          </w:p>
        </w:tc>
        <w:tc>
          <w:tcPr/>
          <w:p>
            <w:pPr>
              <w:pStyle w:val="Compact"/>
            </w:pPr>
            <w:r>
              <w:t xml:space="preserve">POL-14, PROC-13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Capacitación y concientización</w:t>
            </w:r>
          </w:p>
        </w:tc>
        <w:tc>
          <w:tcPr/>
          <w:p>
            <w:pPr>
              <w:pStyle w:val="Compact"/>
            </w:pPr>
            <w:r>
              <w:t xml:space="preserve">Matriz Competencias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Desarrollo seguro (SDLC)</w:t>
            </w:r>
          </w:p>
        </w:tc>
        <w:tc>
          <w:tcPr/>
          <w:p>
            <w:pPr>
              <w:pStyle w:val="Compact"/>
            </w:pPr>
            <w:r>
              <w:t xml:space="preserve">POL-15/09, PROC-15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Línea base de software</w:t>
            </w:r>
          </w:p>
        </w:tc>
        <w:tc>
          <w:tcPr/>
          <w:p>
            <w:pPr>
              <w:pStyle w:val="Compact"/>
            </w:pPr>
            <w:r>
              <w:t xml:space="preserve">POL-15, PROC-04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Auditoría interna</w:t>
            </w:r>
          </w:p>
        </w:tc>
        <w:tc>
          <w:tcPr/>
          <w:p>
            <w:pPr>
              <w:pStyle w:val="Compact"/>
            </w:pPr>
            <w:r>
              <w:t xml:space="preserve">GOB-05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Revisión por la Dirección</w:t>
            </w:r>
          </w:p>
        </w:tc>
        <w:tc>
          <w:tcPr/>
          <w:p>
            <w:pPr>
              <w:pStyle w:val="Compact"/>
            </w:pPr>
            <w:r>
              <w:t xml:space="preserve">GOB-06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No conformidades y mejora continua</w:t>
            </w:r>
          </w:p>
        </w:tc>
        <w:tc>
          <w:tcPr/>
          <w:p>
            <w:pPr>
              <w:pStyle w:val="Compact"/>
            </w:pPr>
            <w:r>
              <w:t xml:space="preserve">GOB-07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Continuidad del negocio (BCP/DRP)</w:t>
            </w:r>
          </w:p>
        </w:tc>
        <w:tc>
          <w:tcPr/>
          <w:p>
            <w:pPr>
              <w:pStyle w:val="Compact"/>
            </w:pPr>
            <w:r>
              <w:t xml:space="preserve">GOB-08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bookmarkEnd w:id="23"/>
    <w:bookmarkStart w:id="24" w:name="notas"/>
    <w:p>
      <w:pPr>
        <w:pStyle w:val="Heading2"/>
      </w:pPr>
      <w:r>
        <w:t xml:space="preserve">5. Notas</w:t>
      </w:r>
    </w:p>
    <w:p>
      <w:pPr>
        <w:pStyle w:val="Compact"/>
        <w:numPr>
          <w:ilvl w:val="0"/>
          <w:numId w:val="1002"/>
        </w:numPr>
      </w:pPr>
      <w:r>
        <w:t xml:space="preserve">Cada proceso tiene</w:t>
      </w:r>
      <w:r>
        <w:t xml:space="preserve"> </w:t>
      </w:r>
      <w:r>
        <w:rPr>
          <w:b/>
          <w:bCs/>
        </w:rPr>
        <w:t xml:space="preserve">un único A</w:t>
      </w:r>
      <w:r>
        <w:t xml:space="preserve"> </w:t>
      </w:r>
      <w:r>
        <w:t xml:space="preserve">(rinde cuentas).</w:t>
      </w:r>
    </w:p>
    <w:p>
      <w:pPr>
        <w:pStyle w:val="Compact"/>
        <w:numPr>
          <w:ilvl w:val="0"/>
          <w:numId w:val="1002"/>
        </w:numPr>
      </w:pPr>
      <w:r>
        <w:t xml:space="preserve">Todos los procesos cuentan con su documento: el desarrollo seguro (proceso 20) se cubre con</w:t>
      </w:r>
      <w:r>
        <w:t xml:space="preserve"> </w:t>
      </w:r>
      <w:r>
        <w:rPr>
          <w:b/>
          <w:bCs/>
        </w:rPr>
        <w:t xml:space="preserve">PROC-SGSI-15</w:t>
      </w:r>
      <w:r>
        <w:t xml:space="preserve">, y auditoría (GOB-05), revisión por la dirección (GOB-06), no conformidades (GOB-07) y continuidad (GOB-08) cierran las brechas de gobierno.</w:t>
      </w:r>
    </w:p>
    <w:p>
      <w:pPr>
        <w:pStyle w:val="Compact"/>
        <w:numPr>
          <w:ilvl w:val="0"/>
          <w:numId w:val="1002"/>
        </w:numPr>
      </w:pPr>
      <w:r>
        <w:t xml:space="preserve">Esta matriz debe revisarse en cada cambio organizacional relevante.</w:t>
      </w:r>
    </w:p>
    <w:bookmarkEnd w:id="24"/>
    <w:bookmarkStart w:id="25" w:name="control-de-cambios"/>
    <w:p>
      <w:pPr>
        <w:pStyle w:val="Heading2"/>
      </w:pPr>
      <w:r>
        <w:t xml:space="preserve">6.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2026-06-18T01:26:55Z</dcterms:created>
  <dcterms:modified xsi:type="dcterms:W3CDTF">2026-06-18T01:26:55Z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