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3c1bba35da4ce006ed85f4f97b47f03b2b4a90"/>
    <w:p>
      <w:pPr>
        <w:pStyle w:val="Heading1"/>
      </w:pPr>
      <w:r>
        <w:t xml:space="preserve">Objetivos de Seguridad de la Información y KPIs — NovaRetail SpA</w:t>
      </w:r>
    </w:p>
    <w:p>
      <w:pPr>
        <w:pStyle w:val="BlockText"/>
      </w:pPr>
      <w:r>
        <w:t xml:space="preserve">ISO/IEC 27001:2022 — Cláusula 6.2 «Objetivos de seguridad de la información y planificación para lograrlos» · apoyo en 9.1 (Seguimiento y medición)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GOVERN (GV.RM, GV.OV)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GOB-SGSI-09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</w:tr>
    </w:tbl>
    <w:bookmarkEnd w:id="20"/>
    <w:bookmarkStart w:id="21" w:name="propósito"/>
    <w:p>
      <w:pPr>
        <w:pStyle w:val="Heading2"/>
      </w:pPr>
      <w:r>
        <w:t xml:space="preserve">2. Propósito</w:t>
      </w:r>
    </w:p>
    <w:p>
      <w:pPr>
        <w:pStyle w:val="FirstParagraph"/>
      </w:pPr>
      <w:r>
        <w:t xml:space="preserve">Definir los</w:t>
      </w:r>
      <w:r>
        <w:t xml:space="preserve"> </w:t>
      </w:r>
      <w:r>
        <w:rPr>
          <w:b/>
          <w:bCs/>
        </w:rPr>
        <w:t xml:space="preserve">objetivos de seguridad de la información</w:t>
      </w:r>
      <w:r>
        <w:t xml:space="preserve"> </w:t>
      </w:r>
      <w:r>
        <w:t xml:space="preserve">de NovaRetail SpA y la forma de planificarlos, medirlos y revisarlos, conforme a la cláusula 6.2 de ISO/IEC 27001:2022. Estos objetivos desarrollan y hacen medibles los enunciados en la</w:t>
      </w:r>
      <w:r>
        <w:t xml:space="preserve"> </w:t>
      </w:r>
      <w:r>
        <w:rPr>
          <w:b/>
          <w:bCs/>
        </w:rPr>
        <w:t xml:space="preserve">Política General de Seguridad (GOB-SGSI-02, sección 6)</w:t>
      </w:r>
      <w:r>
        <w:t xml:space="preserve">.</w:t>
      </w:r>
    </w:p>
    <w:bookmarkEnd w:id="21"/>
    <w:bookmarkStart w:id="22" w:name="principios-cl.-6.2"/>
    <w:p>
      <w:pPr>
        <w:pStyle w:val="Heading2"/>
      </w:pPr>
      <w:r>
        <w:t xml:space="preserve">3. Principios (cl. 6.2)</w:t>
      </w:r>
    </w:p>
    <w:p>
      <w:pPr>
        <w:pStyle w:val="FirstParagraph"/>
      </w:pPr>
      <w:r>
        <w:t xml:space="preserve">Los objetivos son</w:t>
      </w:r>
      <w:r>
        <w:t xml:space="preserve"> </w:t>
      </w:r>
      <w:r>
        <w:rPr>
          <w:b/>
          <w:bCs/>
        </w:rPr>
        <w:t xml:space="preserve">coherentes</w:t>
      </w:r>
      <w:r>
        <w:t xml:space="preserve"> </w:t>
      </w:r>
      <w:r>
        <w:t xml:space="preserve">con la política,</w:t>
      </w:r>
      <w:r>
        <w:t xml:space="preserve"> </w:t>
      </w:r>
      <w:r>
        <w:rPr>
          <w:b/>
          <w:bCs/>
        </w:rPr>
        <w:t xml:space="preserve">medibles</w:t>
      </w:r>
      <w:r>
        <w:t xml:space="preserve"> </w:t>
      </w:r>
      <w:r>
        <w:t xml:space="preserve">(cuando es posible), consideran los requisitos aplicables y los resultados de la evaluación de riesgos, se</w:t>
      </w:r>
      <w:r>
        <w:t xml:space="preserve"> </w:t>
      </w:r>
      <w:r>
        <w:rPr>
          <w:b/>
          <w:bCs/>
        </w:rPr>
        <w:t xml:space="preserve">monitorean</w:t>
      </w:r>
      <w:r>
        <w:t xml:space="preserve">, se</w:t>
      </w:r>
      <w:r>
        <w:t xml:space="preserve"> </w:t>
      </w:r>
      <w:r>
        <w:rPr>
          <w:b/>
          <w:bCs/>
        </w:rPr>
        <w:t xml:space="preserve">comunican</w:t>
      </w:r>
      <w:r>
        <w:t xml:space="preserve"> </w:t>
      </w:r>
      <w:r>
        <w:t xml:space="preserve">y se</w:t>
      </w:r>
      <w:r>
        <w:t xml:space="preserve"> </w:t>
      </w:r>
      <w:r>
        <w:rPr>
          <w:b/>
          <w:bCs/>
        </w:rPr>
        <w:t xml:space="preserve">actualizan</w:t>
      </w:r>
      <w:r>
        <w:t xml:space="preserve"> </w:t>
      </w:r>
      <w:r>
        <w:t xml:space="preserve">según corresponda.</w:t>
      </w:r>
    </w:p>
    <w:bookmarkEnd w:id="22"/>
    <w:bookmarkStart w:id="23" w:name="cuadro-de-objetivos-y-kpis"/>
    <w:p>
      <w:pPr>
        <w:pStyle w:val="Heading2"/>
      </w:pPr>
      <w:r>
        <w:t xml:space="preserve">4. Cuadro de objetivos y 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Indicador (KPI)</w:t>
            </w:r>
          </w:p>
        </w:tc>
        <w:tc>
          <w:tcPr/>
          <w:p>
            <w:pPr>
              <w:pStyle w:val="Compact"/>
            </w:pPr>
            <w:r>
              <w:t xml:space="preserve">Línea base (2026-Q2)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</w:t>
            </w:r>
          </w:p>
        </w:tc>
        <w:tc>
          <w:tcPr/>
          <w:p>
            <w:pPr>
              <w:pStyle w:val="Compact"/>
            </w:pPr>
            <w:r>
              <w:t xml:space="preserve">Reducir el riesgo residual de los riesgos críticos (Nivel ≥ 15)</w:t>
            </w:r>
          </w:p>
        </w:tc>
        <w:tc>
          <w:tcPr/>
          <w:p>
            <w:pPr>
              <w:pStyle w:val="Compact"/>
            </w:pPr>
            <w:r>
              <w:t xml:space="preserve">N.º de riesgos críticos abiertos</w:t>
            </w:r>
          </w:p>
        </w:tc>
        <w:tc>
          <w:tcPr/>
          <w:p>
            <w:pPr>
              <w:pStyle w:val="Compact"/>
            </w:pPr>
            <w:r>
              <w:t xml:space="preserve">8 (R-01, R-02, R-03, R-04, R-07, R-11, R-12, R-13)</w:t>
            </w:r>
          </w:p>
        </w:tc>
        <w:tc>
          <w:tcPr/>
          <w:p>
            <w:pPr>
              <w:pStyle w:val="Compact"/>
            </w:pPr>
            <w:r>
              <w:t xml:space="preserve">↓ ≥ 50 % anual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O-2</w:t>
            </w:r>
          </w:p>
        </w:tc>
        <w:tc>
          <w:tcPr/>
          <w:p>
            <w:pPr>
              <w:pStyle w:val="Compact"/>
            </w:pPr>
            <w:r>
              <w:t xml:space="preserve">Cobertura de MFA en cuentas con acceso a sistemas</w:t>
            </w:r>
          </w:p>
        </w:tc>
        <w:tc>
          <w:tcPr/>
          <w:p>
            <w:pPr>
              <w:pStyle w:val="Compact"/>
            </w:pPr>
            <w:r>
              <w:t xml:space="preserve">% de cuentas con MFA</w:t>
            </w:r>
          </w:p>
        </w:tc>
        <w:tc>
          <w:tcPr/>
          <w:p>
            <w:pPr>
              <w:pStyle w:val="Compact"/>
            </w:pPr>
            <w:r>
              <w:t xml:space="preserve">~0 %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Gerencia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O-3</w:t>
            </w:r>
          </w:p>
        </w:tc>
        <w:tc>
          <w:tcPr/>
          <w:p>
            <w:pPr>
              <w:pStyle w:val="Compact"/>
            </w:pPr>
            <w:r>
              <w:t xml:space="preserve">Cumplir los plazos de notificación a la ANCI</w:t>
            </w:r>
          </w:p>
        </w:tc>
        <w:tc>
          <w:tcPr/>
          <w:p>
            <w:pPr>
              <w:pStyle w:val="Compact"/>
            </w:pPr>
            <w:r>
              <w:t xml:space="preserve">% de incidentes N3 reportados ≤ 3 h</w:t>
            </w:r>
          </w:p>
        </w:tc>
        <w:tc>
          <w:tcPr/>
          <w:p>
            <w:pPr>
              <w:pStyle w:val="Compact"/>
            </w:pPr>
            <w:r>
              <w:t xml:space="preserve">s/d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Por incidente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O-4</w:t>
            </w:r>
          </w:p>
        </w:tc>
        <w:tc>
          <w:tcPr/>
          <w:p>
            <w:pPr>
              <w:pStyle w:val="Compact"/>
            </w:pPr>
            <w:r>
              <w:t xml:space="preserve">Backups probados (esquema 3-2-1)</w:t>
            </w:r>
          </w:p>
        </w:tc>
        <w:tc>
          <w:tcPr/>
          <w:p>
            <w:pPr>
              <w:pStyle w:val="Compact"/>
            </w:pPr>
            <w:r>
              <w:t xml:space="preserve">% de pruebas de restauración exitosas</w:t>
            </w:r>
          </w:p>
        </w:tc>
        <w:tc>
          <w:tcPr/>
          <w:p>
            <w:pPr>
              <w:pStyle w:val="Compact"/>
            </w:pPr>
            <w:r>
              <w:t xml:space="preserve">s/d</w:t>
            </w:r>
          </w:p>
        </w:tc>
        <w:tc>
          <w:tcPr/>
          <w:p>
            <w:pPr>
              <w:pStyle w:val="Compact"/>
            </w:pPr>
            <w:r>
              <w:t xml:space="preserve">100 % trimestral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Infraestructura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O-5</w:t>
            </w:r>
          </w:p>
        </w:tc>
        <w:tc>
          <w:tcPr/>
          <w:p>
            <w:pPr>
              <w:pStyle w:val="Compact"/>
            </w:pPr>
            <w:r>
              <w:t xml:space="preserve">Personal capacitado en seguridad</w:t>
            </w:r>
          </w:p>
        </w:tc>
        <w:tc>
          <w:tcPr/>
          <w:p>
            <w:pPr>
              <w:pStyle w:val="Compact"/>
            </w:pPr>
            <w:r>
              <w:t xml:space="preserve">% de personal con curso aprobado</w:t>
            </w:r>
          </w:p>
        </w:tc>
        <w:tc>
          <w:tcPr/>
          <w:p>
            <w:pPr>
              <w:pStyle w:val="Compact"/>
            </w:pPr>
            <w:r>
              <w:t xml:space="preserve">s/d</w:t>
            </w:r>
          </w:p>
        </w:tc>
        <w:tc>
          <w:tcPr/>
          <w:p>
            <w:pPr>
              <w:pStyle w:val="Compact"/>
            </w:pPr>
            <w:r>
              <w:t xml:space="preserve">≥ 95 % anual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  <w:tc>
          <w:tcPr/>
          <w:p>
            <w:pPr>
              <w:pStyle w:val="Compact"/>
            </w:pPr>
            <w:r>
              <w:t xml:space="preserve">RRHH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O-6</w:t>
            </w:r>
          </w:p>
        </w:tc>
        <w:tc>
          <w:tcPr/>
          <w:p>
            <w:pPr>
              <w:pStyle w:val="Compact"/>
            </w:pPr>
            <w:r>
              <w:t xml:space="preserve">Vulnerabilidades críticas remediadas en SLA</w:t>
            </w:r>
          </w:p>
        </w:tc>
        <w:tc>
          <w:tcPr/>
          <w:p>
            <w:pPr>
              <w:pStyle w:val="Compact"/>
            </w:pPr>
            <w:r>
              <w:t xml:space="preserve">% remediadas en plazo (≤ 15 días)</w:t>
            </w:r>
          </w:p>
        </w:tc>
        <w:tc>
          <w:tcPr/>
          <w:p>
            <w:pPr>
              <w:pStyle w:val="Compact"/>
            </w:pPr>
            <w:r>
              <w:t xml:space="preserve">s/d</w:t>
            </w:r>
          </w:p>
        </w:tc>
        <w:tc>
          <w:tcPr/>
          <w:p>
            <w:pPr>
              <w:pStyle w:val="Compact"/>
            </w:pPr>
            <w:r>
              <w:t xml:space="preserve">≥ 90 %</w:t>
            </w:r>
          </w:p>
        </w:tc>
        <w:tc>
          <w:tcPr/>
          <w:p>
            <w:pPr>
              <w:pStyle w:val="Compact"/>
            </w:pPr>
            <w:r>
              <w:t xml:space="preserve">Mensual</w:t>
            </w:r>
          </w:p>
        </w:tc>
        <w:tc>
          <w:tcPr/>
          <w:p>
            <w:pPr>
              <w:pStyle w:val="Compact"/>
            </w:pPr>
            <w:r>
              <w:t xml:space="preserve">CISO /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O-7</w:t>
            </w:r>
          </w:p>
        </w:tc>
        <w:tc>
          <w:tcPr/>
          <w:p>
            <w:pPr>
              <w:pStyle w:val="Compact"/>
            </w:pPr>
            <w:r>
              <w:t xml:space="preserve">Cierre oportuno de no conformidades</w:t>
            </w:r>
          </w:p>
        </w:tc>
        <w:tc>
          <w:tcPr/>
          <w:p>
            <w:pPr>
              <w:pStyle w:val="Compact"/>
            </w:pPr>
            <w:r>
              <w:t xml:space="preserve">% de NC cerradas dentro de plazo</w:t>
            </w:r>
          </w:p>
        </w:tc>
        <w:tc>
          <w:tcPr/>
          <w:p>
            <w:pPr>
              <w:pStyle w:val="Compact"/>
            </w:pPr>
            <w:r>
              <w:t xml:space="preserve">s/d</w:t>
            </w:r>
          </w:p>
        </w:tc>
        <w:tc>
          <w:tcPr/>
          <w:p>
            <w:pPr>
              <w:pStyle w:val="Compact"/>
            </w:pPr>
            <w:r>
              <w:t xml:space="preserve">≥ 90 %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O-8</w:t>
            </w:r>
          </w:p>
        </w:tc>
        <w:tc>
          <w:tcPr/>
          <w:p>
            <w:pPr>
              <w:pStyle w:val="Compact"/>
            </w:pPr>
            <w:r>
              <w:t xml:space="preserve">Cobertura de revisión de accesos</w:t>
            </w:r>
          </w:p>
        </w:tc>
        <w:tc>
          <w:tcPr/>
          <w:p>
            <w:pPr>
              <w:pStyle w:val="Compact"/>
            </w:pPr>
            <w:r>
              <w:t xml:space="preserve">% de accesos revisados según calendario</w:t>
            </w:r>
          </w:p>
        </w:tc>
        <w:tc>
          <w:tcPr/>
          <w:p>
            <w:pPr>
              <w:pStyle w:val="Compact"/>
            </w:pPr>
            <w:r>
              <w:t xml:space="preserve">s/d</w:t>
            </w:r>
          </w:p>
        </w:tc>
        <w:tc>
          <w:tcPr/>
          <w:p>
            <w:pPr>
              <w:pStyle w:val="Compact"/>
            </w:pPr>
            <w:r>
              <w:t xml:space="preserve">100 % trimestral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Gerencia TI</w:t>
            </w:r>
          </w:p>
        </w:tc>
      </w:tr>
    </w:tbl>
    <w:p>
      <w:pPr>
        <w:pStyle w:val="BlockText"/>
      </w:pPr>
      <w:r>
        <w:t xml:space="preserve">«s/d» = sin dato de línea base aún; se establecerá en la primera medición. La reducción de O-1 se mide contra el</w:t>
      </w:r>
      <w:r>
        <w:t xml:space="preserve"> </w:t>
      </w:r>
      <w:r>
        <w:rPr>
          <w:b/>
          <w:bCs/>
        </w:rPr>
        <w:t xml:space="preserve">Plan de Tratamiento de Riesgos (ANR-SGSI-02)</w:t>
      </w:r>
      <w:r>
        <w:t xml:space="preserve">.</w:t>
      </w:r>
    </w:p>
    <w:bookmarkEnd w:id="23"/>
    <w:bookmarkStart w:id="24" w:name="Xb89ef2c7170cd5d4180aed3aa7f2bf83c2b5406"/>
    <w:p>
      <w:pPr>
        <w:pStyle w:val="Heading2"/>
      </w:pPr>
      <w:r>
        <w:t xml:space="preserve">5. Planificación para lograrlos (cl. 6.2 — qué/recursos/quién/cuándo/evaluación)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Acciones clave</w:t>
            </w:r>
          </w:p>
        </w:tc>
        <w:tc>
          <w:tcPr/>
          <w:p>
            <w:pPr>
              <w:pStyle w:val="Compact"/>
            </w:pPr>
            <w: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Cómo se evalúa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O-1, O-6</w:t>
            </w:r>
          </w:p>
        </w:tc>
        <w:tc>
          <w:tcPr/>
          <w:p>
            <w:pPr>
              <w:pStyle w:val="Compact"/>
            </w:pPr>
            <w:r>
              <w:t xml:space="preserve">Ejecutar Fases 1–2 del Plan de Tratamiento; ciclo de escaneo y remediación</w:t>
            </w:r>
          </w:p>
        </w:tc>
        <w:tc>
          <w:tcPr/>
          <w:p>
            <w:pPr>
              <w:pStyle w:val="Compact"/>
            </w:pPr>
            <w:r>
              <w:t xml:space="preserve">Herramienta de escaneo, horas de TI</w:t>
            </w:r>
          </w:p>
        </w:tc>
        <w:tc>
          <w:tcPr/>
          <w:p>
            <w:pPr>
              <w:pStyle w:val="Compact"/>
            </w:pPr>
            <w:r>
              <w:t xml:space="preserve">2026-Q3 a 2027-Q1</w:t>
            </w:r>
          </w:p>
        </w:tc>
        <w:tc>
          <w:tcPr/>
          <w:p>
            <w:pPr>
              <w:pStyle w:val="Compact"/>
            </w:pPr>
            <w:r>
              <w:t xml:space="preserve">KPIs trimestrales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O-2</w:t>
            </w:r>
          </w:p>
        </w:tc>
        <w:tc>
          <w:tcPr/>
          <w:p>
            <w:pPr>
              <w:pStyle w:val="Compact"/>
            </w:pPr>
            <w:r>
              <w:t xml:space="preserve">Habilitar MFA en portal, correo y cuentas privilegiadas</w:t>
            </w:r>
          </w:p>
        </w:tc>
        <w:tc>
          <w:tcPr/>
          <w:p>
            <w:pPr>
              <w:pStyle w:val="Compact"/>
            </w:pPr>
            <w:r>
              <w:t xml:space="preserve">IdP / MFA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  <w:tc>
          <w:tcPr/>
          <w:p>
            <w:pPr>
              <w:pStyle w:val="Compact"/>
            </w:pPr>
            <w:r>
              <w:t xml:space="preserve">Reporte de 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O-4</w:t>
            </w:r>
          </w:p>
        </w:tc>
        <w:tc>
          <w:tcPr/>
          <w:p>
            <w:pPr>
              <w:pStyle w:val="Compact"/>
            </w:pPr>
            <w:r>
              <w:t xml:space="preserve">Implantar 3-2-1 inmutable y probar restauraciones</w:t>
            </w:r>
          </w:p>
        </w:tc>
        <w:tc>
          <w:tcPr/>
          <w:p>
            <w:pPr>
              <w:pStyle w:val="Compact"/>
            </w:pPr>
            <w:r>
              <w:t xml:space="preserve">Almacenamiento offsite</w:t>
            </w:r>
          </w:p>
        </w:tc>
        <w:tc>
          <w:tcPr/>
          <w:p>
            <w:pPr>
              <w:pStyle w:val="Compact"/>
            </w:pPr>
            <w:r>
              <w:t xml:space="preserve">2026-Q3</w:t>
            </w:r>
          </w:p>
        </w:tc>
        <w:tc>
          <w:tcPr/>
          <w:p>
            <w:pPr>
              <w:pStyle w:val="Compact"/>
            </w:pPr>
            <w:r>
              <w:t xml:space="preserve">Informes de prueba (BCP/DRP)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O-3, O-7</w:t>
            </w:r>
          </w:p>
        </w:tc>
        <w:tc>
          <w:tcPr/>
          <w:p>
            <w:pPr>
              <w:pStyle w:val="Compact"/>
            </w:pPr>
            <w:r>
              <w:t xml:space="preserve">Operar PROC-SGSI-05 y GOB-SGSI-07</w:t>
            </w:r>
          </w:p>
        </w:tc>
        <w:tc>
          <w:tcPr/>
          <w:p>
            <w:pPr>
              <w:pStyle w:val="Compact"/>
            </w:pPr>
            <w:r>
              <w:t xml:space="preserve">Equipo SGSI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  <w:tc>
          <w:tcPr/>
          <w:p>
            <w:pPr>
              <w:pStyle w:val="Compact"/>
            </w:pPr>
            <w:r>
              <w:t xml:space="preserve">Registros de incidentes y 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O-5</w:t>
            </w:r>
          </w:p>
        </w:tc>
        <w:tc>
          <w:tcPr/>
          <w:p>
            <w:pPr>
              <w:pStyle w:val="Compact"/>
            </w:pPr>
            <w:r>
              <w:t xml:space="preserve">Plan anual de capacitación y concientización</w:t>
            </w:r>
          </w:p>
        </w:tc>
        <w:tc>
          <w:tcPr/>
          <w:p>
            <w:pPr>
              <w:pStyle w:val="Compact"/>
            </w:pPr>
            <w:r>
              <w:t xml:space="preserve">RRHH / contenidos</w:t>
            </w:r>
          </w:p>
        </w:tc>
        <w:tc>
          <w:tcPr/>
          <w:p>
            <w:pPr>
              <w:pStyle w:val="Compact"/>
            </w:pPr>
            <w:r>
              <w:t xml:space="preserve">2026-Q4</w:t>
            </w:r>
          </w:p>
        </w:tc>
        <w:tc>
          <w:tcPr/>
          <w:p>
            <w:pPr>
              <w:pStyle w:val="Compact"/>
            </w:pPr>
            <w:r>
              <w:t xml:space="preserve">% de aprobación</w:t>
            </w:r>
          </w:p>
        </w:tc>
      </w:tr>
    </w:tbl>
    <w:bookmarkEnd w:id="24"/>
    <w:bookmarkStart w:id="25" w:name="Xf6a163d9c772e8c1540d2b2867a8547eaa16d35"/>
    <w:p>
      <w:pPr>
        <w:pStyle w:val="Heading2"/>
      </w:pPr>
      <w:r>
        <w:t xml:space="preserve">6. Seguimiento, medición y comunicación (cl. 9.1)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CISO</w:t>
      </w:r>
      <w:r>
        <w:t xml:space="preserve"> </w:t>
      </w:r>
      <w:r>
        <w:t xml:space="preserve">consolida los KPIs según su frecuencia y los presenta en la</w:t>
      </w:r>
      <w:r>
        <w:t xml:space="preserve"> </w:t>
      </w:r>
      <w:r>
        <w:rPr>
          <w:b/>
          <w:bCs/>
        </w:rPr>
        <w:t xml:space="preserve">Revisión por la Dirección (GOB-SGSI-06)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Los resultados se comunican al Comité SGSI y a las áreas responsables.</w:t>
      </w:r>
    </w:p>
    <w:p>
      <w:pPr>
        <w:pStyle w:val="Compact"/>
        <w:numPr>
          <w:ilvl w:val="0"/>
          <w:numId w:val="1001"/>
        </w:numPr>
      </w:pPr>
      <w:r>
        <w:t xml:space="preserve">Las desviaciones relevantes pueden originar</w:t>
      </w:r>
      <w:r>
        <w:t xml:space="preserve"> </w:t>
      </w:r>
      <w:r>
        <w:rPr>
          <w:b/>
          <w:bCs/>
        </w:rPr>
        <w:t xml:space="preserve">no conformidades</w:t>
      </w:r>
      <w:r>
        <w:t xml:space="preserve"> </w:t>
      </w:r>
      <w:r>
        <w:t xml:space="preserve">(GOB-SGSI-07).</w:t>
      </w:r>
    </w:p>
    <w:bookmarkEnd w:id="25"/>
    <w:bookmarkStart w:id="26" w:name="roles-según-matriz-raci-gob-sgsi-04"/>
    <w:p>
      <w:pPr>
        <w:pStyle w:val="Heading2"/>
      </w:pPr>
      <w:r>
        <w:t xml:space="preserve">7. Roles (según Matriz RACI — GOB-SGSI-04)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Gerencia General</w:t>
      </w:r>
      <w:r>
        <w:t xml:space="preserve">: aprueba los objetivos y asigna recursos (Accountable).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CISO</w:t>
      </w:r>
      <w:r>
        <w:t xml:space="preserve">: define, mide y reporta los KPIs (Responsable).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Áreas (TI, RRHH, Operaciones)</w:t>
      </w:r>
      <w:r>
        <w:t xml:space="preserve">: ejecutan las acciones y reportan sus indicadores.</w:t>
      </w:r>
    </w:p>
    <w:bookmarkEnd w:id="26"/>
    <w:bookmarkStart w:id="27" w:name="documentos-relacionados"/>
    <w:p>
      <w:pPr>
        <w:pStyle w:val="Heading2"/>
      </w:pPr>
      <w:r>
        <w:t xml:space="preserve">8. Documentos relacionados</w:t>
      </w:r>
    </w:p>
    <w:p>
      <w:pPr>
        <w:pStyle w:val="Compact"/>
        <w:numPr>
          <w:ilvl w:val="0"/>
          <w:numId w:val="1003"/>
        </w:numPr>
      </w:pPr>
      <w:r>
        <w:t xml:space="preserve">Política General de Seguridad (GOB-SGSI-02) · Revisión por la Dirección (GOB-SGSI-06)</w:t>
      </w:r>
    </w:p>
    <w:p>
      <w:pPr>
        <w:pStyle w:val="Compact"/>
        <w:numPr>
          <w:ilvl w:val="0"/>
          <w:numId w:val="1003"/>
        </w:numPr>
      </w:pPr>
      <w:r>
        <w:t xml:space="preserve">Plan de Tratamiento de Riesgos (ANR-SGSI-02) · No Conformidades (GOB-SGSI-07)</w:t>
      </w:r>
    </w:p>
    <w:bookmarkEnd w:id="27"/>
    <w:bookmarkStart w:id="28" w:name="control-de-cambios"/>
    <w:p>
      <w:pPr>
        <w:pStyle w:val="Heading2"/>
      </w:pPr>
      <w:r>
        <w:t xml:space="preserve">9.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inicial: objetivos medibles con metas y frecuencia (cierra la brecha G-12 del Gap Analysis).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2026-06-18T01:26:55Z</dcterms:created>
  <dcterms:modified xsi:type="dcterms:W3CDTF">2026-06-18T01:26:55Z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