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8d9469388ca76afe8152f2f460f7bd25d7aff0"/>
    <w:p>
      <w:pPr>
        <w:pStyle w:val="Heading1"/>
      </w:pPr>
      <w:r>
        <w:t xml:space="preserve">Plan de Continuidad del Negocio (BCP/DRP) — NovaRetail SpA</w:t>
      </w:r>
    </w:p>
    <w:p>
      <w:pPr>
        <w:pStyle w:val="BlockText"/>
      </w:pPr>
      <w:r>
        <w:t xml:space="preserve">ISO/IEC 27001:2022 — Controles Anexo A 5.29 «Seguridad de la información durante la disrupción» y 5.30 «Preparación de las TIC para la continuidad del negocio» · apoyo en 8.13/8.14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RECOVER (RC.RP, RC.CO)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PROTECT (PR.IR)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Asegurar que NovaRetail SpA pueda</w:t>
      </w:r>
      <w:r>
        <w:t xml:space="preserve"> </w:t>
      </w:r>
      <w:r>
        <w:rPr>
          <w:b/>
          <w:bCs/>
        </w:rPr>
        <w:t xml:space="preserve">mantener o restaurar oportunamente</w:t>
      </w:r>
      <w:r>
        <w:t xml:space="preserve"> </w:t>
      </w:r>
      <w:r>
        <w:t xml:space="preserve">sus procesos críticos y la seguridad de la información ante una disrupción (ciberataque, falla de infraestructura o indisponibilidad de un proveedor crítico), definiendo el</w:t>
      </w:r>
      <w:r>
        <w:t xml:space="preserve"> </w:t>
      </w:r>
      <w:r>
        <w:rPr>
          <w:b/>
          <w:bCs/>
        </w:rPr>
        <w:t xml:space="preserve">Plan de Continuidad del Negocio (BCP)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Plan de Recuperación ante Desastres (DRP)</w:t>
      </w:r>
      <w:r>
        <w:t xml:space="preserve"> </w:t>
      </w:r>
      <w:r>
        <w:t xml:space="preserve">de las TIC.</w:t>
      </w:r>
    </w:p>
    <w:bookmarkEnd w:id="21"/>
    <w:bookmarkStart w:id="22" w:name="alcance"/>
    <w:p>
      <w:pPr>
        <w:pStyle w:val="Heading2"/>
      </w:pPr>
      <w:r>
        <w:t xml:space="preserve">3. Alcance</w:t>
      </w:r>
    </w:p>
    <w:p>
      <w:pPr>
        <w:pStyle w:val="FirstParagraph"/>
      </w:pPr>
      <w:r>
        <w:t xml:space="preserve">Procesos críticos del alcance del SGSI (GOB-SGSI-01):</w:t>
      </w:r>
      <w:r>
        <w:t xml:space="preserve"> </w:t>
      </w:r>
      <w:r>
        <w:rPr>
          <w:b/>
          <w:bCs/>
        </w:rPr>
        <w:t xml:space="preserve">venta e-commerce, procesamiento de pagos, gestión de inventario/ERP y soporte a clientes</w:t>
      </w:r>
      <w:r>
        <w:t xml:space="preserve">, y los activos que los soportan (ACT-1 a ACT-15).</w:t>
      </w:r>
    </w:p>
    <w:bookmarkEnd w:id="22"/>
    <w:bookmarkStart w:id="23" w:name="X5cab30f021b0ac0e54061fb2d9b30a8ba1e2694"/>
    <w:p>
      <w:pPr>
        <w:pStyle w:val="Heading2"/>
      </w:pPr>
      <w:r>
        <w:t xml:space="preserve">4. Análisis de impacto al negocio (BIA) y objetivos de recuperación</w:t>
      </w:r>
    </w:p>
    <w:p>
      <w:pPr>
        <w:pStyle w:val="BlockText"/>
      </w:pPr>
      <w:r>
        <w:rPr>
          <w:b/>
          <w:bCs/>
        </w:rPr>
        <w:t xml:space="preserve">RTO</w:t>
      </w:r>
      <w:r>
        <w:t xml:space="preserve"> </w:t>
      </w:r>
      <w:r>
        <w:t xml:space="preserve">(Recovery Time Objective): tiempo máximo tolerable de indisponibilidad.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(Recovery Point Objective): pérdida máxima tolerable de datos.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 / Activo</w:t>
            </w:r>
          </w:p>
        </w:tc>
        <w:tc>
          <w:tcPr/>
          <w:p>
            <w:pPr>
              <w:pStyle w:val="Compact"/>
            </w:pPr>
            <w:r>
              <w:t xml:space="preserve">Criticidad</w:t>
            </w:r>
          </w:p>
        </w:tc>
        <w:tc>
          <w:tcPr/>
          <w:p>
            <w:pPr>
              <w:pStyle w:val="Compact"/>
            </w:pPr>
            <w:r>
              <w:t xml:space="preserve">RTO objetivo</w:t>
            </w:r>
          </w:p>
        </w:tc>
        <w:tc>
          <w:tcPr/>
          <w:p>
            <w:pPr>
              <w:pStyle w:val="Compact"/>
            </w:pPr>
            <w:r>
              <w:t xml:space="preserve">RPO objetivo</w:t>
            </w:r>
          </w:p>
        </w:tc>
        <w:tc>
          <w:tcPr/>
          <w:p>
            <w:pPr>
              <w:pStyle w:val="Compact"/>
            </w:pPr>
            <w:r>
              <w:t xml:space="preserve">Estrategia de recuperación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Pasarela de pagos (ACT-3)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Tercero (Transbank/Webpay) + conmutación a medio de pago alterno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e-commerce (ACT-1)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Redespliegue desde imagen + WAF/anti-DDoS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de clientes (ACT-2)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Restauración desde backup inmutable + replicación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/ pedidos (ACT-10)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Replicación de BD; operación manual transitoria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corporativo (ACT-13)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Servicio en la nube (M365 / Workspace)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de inventario (ACT-9)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12 h</w:t>
            </w:r>
          </w:p>
        </w:tc>
        <w:tc>
          <w:tcPr/>
          <w:p>
            <w:pPr>
              <w:pStyle w:val="Compact"/>
            </w:pPr>
            <w:r>
              <w:t xml:space="preserve">Restauración desde backup</w:t>
            </w:r>
          </w:p>
        </w:tc>
      </w:tr>
    </w:tbl>
    <w:bookmarkEnd w:id="23"/>
    <w:bookmarkStart w:id="24" w:name="estrategia-de-continuidad-cl.-a.5.29"/>
    <w:p>
      <w:pPr>
        <w:pStyle w:val="Heading2"/>
      </w:pPr>
      <w:r>
        <w:t xml:space="preserve">5. Estrategia de continuidad (cl. A.5.29)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Roles de crisis</w:t>
      </w:r>
      <w:r>
        <w:t xml:space="preserve">: la Gerencia General activa el plan; el CISO coordina la respuesta técnica y de seguridad; las jefaturas mantienen los procesos en modo contingencia.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Modo degradado</w:t>
      </w:r>
      <w:r>
        <w:t xml:space="preserve">: procedimientos manuales transitorios para ventas y despacho mientras se recuperan los sistemas.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Comunicación</w:t>
      </w:r>
      <w:r>
        <w:t xml:space="preserve">: protocolo de comunicación interna y a partes interesadas (clientes, ANCI cuando aplique según PROC-SGSI-05, marcas de tarjetas).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Seguridad durante la disrupción</w:t>
      </w:r>
      <w:r>
        <w:t xml:space="preserve">: los controles esenciales (accesos, cifrado, registro) se mantienen incluso en operación de contingencia.</w:t>
      </w:r>
    </w:p>
    <w:bookmarkEnd w:id="24"/>
    <w:bookmarkStart w:id="25" w:name="X8e8808600ba4e28552ae525c8ac8ac70d0d1146"/>
    <w:p>
      <w:pPr>
        <w:pStyle w:val="Heading2"/>
      </w:pPr>
      <w:r>
        <w:t xml:space="preserve">6. Recuperación ante desastres de TIC (DRP, cl. A.5.30)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 y declaración</w:t>
      </w:r>
      <w:r>
        <w:t xml:space="preserve"> </w:t>
      </w:r>
      <w:r>
        <w:t xml:space="preserve">del desastre por el CISO/Gerencia 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Contención</w:t>
      </w:r>
      <w:r>
        <w:t xml:space="preserve"> </w:t>
      </w:r>
      <w:r>
        <w:t xml:space="preserve">(si hay incidente de seguridad asociado, se enlaza con PROC-SGSI-05).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Restauración</w:t>
      </w:r>
      <w:r>
        <w:t xml:space="preserve"> </w:t>
      </w:r>
      <w:r>
        <w:t xml:space="preserve">desde respaldos</w:t>
      </w:r>
      <w:r>
        <w:t xml:space="preserve"> </w:t>
      </w:r>
      <w:r>
        <w:rPr>
          <w:b/>
          <w:bCs/>
        </w:rPr>
        <w:t xml:space="preserve">3-2-1 inmutables y offsite</w:t>
      </w:r>
      <w:r>
        <w:t xml:space="preserve"> </w:t>
      </w:r>
      <w:r>
        <w:t xml:space="preserve">(POL-SGSI-03 · PROC-SGSI-02), con verificación de integridad antes de reconectar.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Conmutación / replicación</w:t>
      </w:r>
      <w:r>
        <w:t xml:space="preserve"> </w:t>
      </w:r>
      <w:r>
        <w:t xml:space="preserve">de los servicios con redundancia (control A.8.14).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Validación funcional y de seguridad</w:t>
      </w:r>
      <w:r>
        <w:t xml:space="preserve"> </w:t>
      </w:r>
      <w:r>
        <w:t xml:space="preserve">previa a la vuelta a producción.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Vuelta a la normalidad</w:t>
      </w:r>
      <w:r>
        <w:t xml:space="preserve"> </w:t>
      </w:r>
      <w:r>
        <w:t xml:space="preserve">y registro de lecciones aprendidas.</w:t>
      </w:r>
    </w:p>
    <w:bookmarkEnd w:id="25"/>
    <w:bookmarkStart w:id="26" w:name="escenarios-considerados"/>
    <w:p>
      <w:pPr>
        <w:pStyle w:val="Heading2"/>
      </w:pPr>
      <w:r>
        <w:t xml:space="preserve">7. Escenarios considerados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Riesgo asociado</w:t>
            </w:r>
          </w:p>
        </w:tc>
        <w:tc>
          <w:tcPr/>
          <w:p>
            <w:pPr>
              <w:pStyle w:val="Compact"/>
            </w:pPr>
            <w:r>
              <w:t xml:space="preserve">Respuesta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 que cifra datos/respaldos</w:t>
            </w:r>
          </w:p>
        </w:tc>
        <w:tc>
          <w:tcPr/>
          <w:p>
            <w:pPr>
              <w:pStyle w:val="Compact"/>
            </w:pPr>
            <w:r>
              <w:t xml:space="preserve">R-02, R-11</w:t>
            </w:r>
          </w:p>
        </w:tc>
        <w:tc>
          <w:tcPr/>
          <w:p>
            <w:pPr>
              <w:pStyle w:val="Compact"/>
            </w:pPr>
            <w:r>
              <w:t xml:space="preserve">Aislar, restaurar desde copia inmutable offsite, no pagar rescate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Caída prolongada del ERP/portal</w:t>
            </w:r>
          </w:p>
        </w:tc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Conmutar a réplica; operación manual transitoria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Indisponibilidad de proveedor crítico (pago/logística)</w:t>
            </w:r>
          </w:p>
        </w:tc>
        <w:tc>
          <w:tcPr/>
          <w:p>
            <w:pPr>
              <w:pStyle w:val="Compact"/>
            </w:pPr>
            <w:r>
              <w:t xml:space="preserve">R-03, R-08</w:t>
            </w:r>
          </w:p>
        </w:tc>
        <w:tc>
          <w:tcPr/>
          <w:p>
            <w:pPr>
              <w:pStyle w:val="Compact"/>
            </w:pPr>
            <w:r>
              <w:t xml:space="preserve">Activar proveedor o canal alterno; cláusulas de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sede o datacenter</w:t>
            </w:r>
          </w:p>
        </w:tc>
        <w:tc>
          <w:tcPr/>
          <w:p>
            <w:pPr>
              <w:pStyle w:val="Compact"/>
            </w:pPr>
            <w:r>
              <w:t xml:space="preserve">R-10, R-11</w:t>
            </w:r>
          </w:p>
        </w:tc>
        <w:tc>
          <w:tcPr/>
          <w:p>
            <w:pPr>
              <w:pStyle w:val="Compact"/>
            </w:pPr>
            <w:r>
              <w:t xml:space="preserve">Operar desde servicios en la nube y respaldos offsite</w:t>
            </w:r>
          </w:p>
        </w:tc>
      </w:tr>
    </w:tbl>
    <w:bookmarkEnd w:id="26"/>
    <w:bookmarkStart w:id="27" w:name="pruebas-y-mantenimiento-cl.-a.5.30"/>
    <w:p>
      <w:pPr>
        <w:pStyle w:val="Heading2"/>
      </w:pPr>
      <w:r>
        <w:t xml:space="preserve">8. Pruebas y mantenimiento (cl. A.5.30)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Prueba de restauración de respaldos</w:t>
      </w:r>
      <w:r>
        <w:t xml:space="preserve">: trimestral (alineada al objetivo O-4 — GOB-SGSI-09).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Ejercicio de continuidad (tabletop o simulacro)</w:t>
      </w:r>
      <w:r>
        <w:t xml:space="preserve">: al menos</w:t>
      </w:r>
      <w:r>
        <w:t xml:space="preserve"> </w:t>
      </w:r>
      <w:r>
        <w:rPr>
          <w:b/>
          <w:bCs/>
        </w:rPr>
        <w:t xml:space="preserve">anual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plan se actualiza tras cada prueba, incidente mayor o cambio relevante de infraestructura.</w:t>
      </w:r>
    </w:p>
    <w:bookmarkEnd w:id="27"/>
    <w:bookmarkStart w:id="28" w:name="roles-según-matriz-raci-gob-sgsi-04"/>
    <w:p>
      <w:pPr>
        <w:pStyle w:val="Heading2"/>
      </w:pPr>
      <w:r>
        <w:t xml:space="preserve">9. Roles (según Matriz RACI — GOB-SGSI-04)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Gerencia General</w:t>
      </w:r>
      <w:r>
        <w:t xml:space="preserve">: activa el plan y rinde cuentas (Accountable).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CISO</w:t>
      </w:r>
      <w:r>
        <w:t xml:space="preserve">: coordina la respuesta y mantiene el plan (Responsable).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Infraestructura TI</w:t>
      </w:r>
      <w:r>
        <w:t xml:space="preserve">: ejecuta la recuperación técnica.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Jefaturas de proceso</w:t>
      </w:r>
      <w:r>
        <w:t xml:space="preserve">: sostienen la operación en modo contingencia.</w:t>
      </w:r>
    </w:p>
    <w:bookmarkEnd w:id="28"/>
    <w:bookmarkStart w:id="29" w:name="registros-y-evidencias-cl.-7.5"/>
    <w:p>
      <w:pPr>
        <w:pStyle w:val="Heading2"/>
      </w:pPr>
      <w:r>
        <w:t xml:space="preserve">10. Registros y evidencias (cl. 7.5)</w:t>
      </w:r>
    </w:p>
    <w:p>
      <w:pPr>
        <w:pStyle w:val="FirstParagraph"/>
      </w:pPr>
      <w:r>
        <w:t xml:space="preserve">Resultados de pruebas de restauración, actas de ejercicios, registros de activación e informes de lecciones aprendidas se archivan en</w:t>
      </w:r>
      <w:r>
        <w:t xml:space="preserve"> </w:t>
      </w:r>
      <w:r>
        <w:rPr>
          <w:rStyle w:val="VerbatimChar"/>
        </w:rPr>
        <w:t xml:space="preserve">03-evidencias/</w:t>
      </w:r>
      <w:r>
        <w:t xml:space="preserve">.</w:t>
      </w:r>
    </w:p>
    <w:bookmarkEnd w:id="29"/>
    <w:bookmarkStart w:id="30" w:name="documentos-relacionados"/>
    <w:p>
      <w:pPr>
        <w:pStyle w:val="Heading2"/>
      </w:pPr>
      <w:r>
        <w:t xml:space="preserve">11. Documentos relacionados</w:t>
      </w:r>
    </w:p>
    <w:p>
      <w:pPr>
        <w:pStyle w:val="Compact"/>
        <w:numPr>
          <w:ilvl w:val="0"/>
          <w:numId w:val="1005"/>
        </w:numPr>
      </w:pPr>
      <w:r>
        <w:t xml:space="preserve">Política de respaldo y recuperación (POL-SGSI-03) · Procedimientos de backup y rollback (PROC-SGSI-02 / 03)</w:t>
      </w:r>
    </w:p>
    <w:p>
      <w:pPr>
        <w:pStyle w:val="Compact"/>
        <w:numPr>
          <w:ilvl w:val="0"/>
          <w:numId w:val="1005"/>
        </w:numPr>
      </w:pPr>
      <w:r>
        <w:t xml:space="preserve">Gestión de incidentes y reporte ANCI (POL-SGSI-11 · PROC-SGSI-05)</w:t>
      </w:r>
    </w:p>
    <w:p>
      <w:pPr>
        <w:pStyle w:val="Compact"/>
        <w:numPr>
          <w:ilvl w:val="0"/>
          <w:numId w:val="1005"/>
        </w:numPr>
      </w:pPr>
      <w:r>
        <w:t xml:space="preserve">Plan de Tratamiento de Riesgos (ANR-SGSI-02) — R-10, R-11</w:t>
      </w:r>
    </w:p>
    <w:bookmarkEnd w:id="30"/>
    <w:bookmarkStart w:id="31" w:name="control-de-cambios"/>
    <w:p>
      <w:pPr>
        <w:pStyle w:val="Heading2"/>
      </w:pPr>
      <w:r>
        <w:t xml:space="preserve">12.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 (cierra la brecha G-7 del Gap Analysis).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2026-06-18T01:26:55Z</dcterms:created>
  <dcterms:modified xsi:type="dcterms:W3CDTF">2026-06-18T01:26:55Z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