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b2489669cfbfe077a422b9c04230061db5f3819"/>
    <w:p>
      <w:pPr>
        <w:pStyle w:val="Heading1"/>
      </w:pPr>
      <w:r>
        <w:t xml:space="preserve">Política General de Seguridad de la Información — NovaRetail SpA</w:t>
      </w:r>
    </w:p>
    <w:p>
      <w:pPr>
        <w:pStyle w:val="BlockText"/>
      </w:pPr>
      <w:r>
        <w:t xml:space="preserve">ISO/IEC 27001:2022 — Cláusula 5.1 (Liderazgo) y 5.2 (Política) · Control Anexo A 5.1</w:t>
      </w:r>
      <w:r>
        <w:t xml:space="preserve"> </w:t>
      </w:r>
      <w:r>
        <w:t xml:space="preserve">NIST CSF 2.0 — Función</w:t>
      </w:r>
      <w:r>
        <w:t xml:space="preserve"> </w:t>
      </w:r>
      <w:r>
        <w:rPr>
          <w:b/>
          <w:bCs/>
        </w:rPr>
        <w:t xml:space="preserve">GOVERN (GV.PO — Policy)</w:t>
      </w:r>
    </w:p>
    <w:bookmarkStart w:id="20" w:name="control-documental"/>
    <w:p>
      <w:pPr>
        <w:pStyle w:val="Heading2"/>
      </w:pPr>
      <w:r>
        <w:t xml:space="preserve">1. Control documental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GOB-SGSI-02 (política madre / apex)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emisión</w:t>
            </w:r>
          </w:p>
        </w:tc>
        <w:tc>
          <w:tcPr/>
          <w:p>
            <w:pPr>
              <w:pStyle w:val="Compact"/>
            </w:pPr>
            <w:r>
              <w:t xml:space="preserve">17-06-2026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Próxima revisión</w:t>
            </w:r>
          </w:p>
        </w:tc>
        <w:tc>
          <w:tcPr/>
          <w:p>
            <w:pPr>
              <w:pStyle w:val="Compact"/>
            </w:pPr>
            <w:r>
              <w:t xml:space="preserve">17-06-2027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Clasificación</w:t>
            </w:r>
          </w:p>
        </w:tc>
        <w:tc>
          <w:tcPr/>
          <w:p>
            <w:pPr>
              <w:pStyle w:val="Compact"/>
            </w:pPr>
            <w:r>
              <w:t xml:space="preserve">Interno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Elaborado por</w:t>
            </w:r>
          </w:p>
        </w:tc>
        <w:tc>
          <w:tcPr/>
          <w:p>
            <w:pPr>
              <w:pStyle w:val="Compact"/>
            </w:pPr>
            <w:r>
              <w:t xml:space="preserve">Equipo SGSI — Thynk 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Revisado por</w:t>
            </w:r>
          </w:p>
        </w:tc>
        <w:tc>
          <w:tcPr/>
          <w:p>
            <w:pPr>
              <w:pStyle w:val="Compact"/>
            </w:pPr>
            <w:r>
              <w:t xml:space="preserve">CISO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Aprobado por</w:t>
            </w:r>
          </w:p>
        </w:tc>
        <w:tc>
          <w:tcPr/>
          <w:p>
            <w:pPr>
              <w:pStyle w:val="Compact"/>
            </w:pPr>
            <w:r>
              <w:t xml:space="preserve">Gerencia General</w:t>
            </w:r>
          </w:p>
        </w:tc>
      </w:tr>
    </w:tbl>
    <w:bookmarkEnd w:id="20"/>
    <w:bookmarkStart w:id="21" w:name="declaración-de-la-dirección"/>
    <w:p>
      <w:pPr>
        <w:pStyle w:val="Heading2"/>
      </w:pPr>
      <w:r>
        <w:t xml:space="preserve">2. Declaración de la Dirección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Gerencia General de NovaRetail SpA</w:t>
      </w:r>
      <w:r>
        <w:t xml:space="preserve"> </w:t>
      </w:r>
      <w:r>
        <w:t xml:space="preserve">reconoce la información como un activo estratégico y se compromete a proteger su</w:t>
      </w:r>
      <w:r>
        <w:t xml:space="preserve"> </w:t>
      </w:r>
      <w:r>
        <w:rPr>
          <w:b/>
          <w:bCs/>
        </w:rPr>
        <w:t xml:space="preserve">confidencialidad, integridad y disponibilidad</w:t>
      </w:r>
      <w:r>
        <w:t xml:space="preserve">, estableciendo, implementando, manteniendo y mejorando de forma continua un Sistema de Gestión de Seguridad de la Información (SGSI) conforme a</w:t>
      </w:r>
      <w:r>
        <w:t xml:space="preserve"> </w:t>
      </w:r>
      <w:r>
        <w:rPr>
          <w:b/>
          <w:bCs/>
        </w:rPr>
        <w:t xml:space="preserve">ISO/IEC 27001:2022</w:t>
      </w:r>
      <w:r>
        <w:t xml:space="preserve">,</w:t>
      </w:r>
      <w:r>
        <w:t xml:space="preserve"> </w:t>
      </w:r>
      <w:r>
        <w:rPr>
          <w:b/>
          <w:bCs/>
        </w:rPr>
        <w:t xml:space="preserve">PCI DSS v4.0</w:t>
      </w:r>
      <w:r>
        <w:t xml:space="preserve">, la</w:t>
      </w:r>
      <w:r>
        <w:t xml:space="preserve"> </w:t>
      </w:r>
      <w:r>
        <w:rPr>
          <w:b/>
          <w:bCs/>
        </w:rPr>
        <w:t xml:space="preserve">Ley 21.663</w:t>
      </w:r>
      <w:r>
        <w:t xml:space="preserve"> </w:t>
      </w:r>
      <w:r>
        <w:t xml:space="preserve">(Marco de Ciberseguridad) y la</w:t>
      </w:r>
      <w:r>
        <w:t xml:space="preserve"> </w:t>
      </w:r>
      <w:r>
        <w:rPr>
          <w:b/>
          <w:bCs/>
        </w:rPr>
        <w:t xml:space="preserve">Ley 19.628</w:t>
      </w:r>
      <w:r>
        <w:t xml:space="preserve"> </w:t>
      </w:r>
      <w:r>
        <w:t xml:space="preserve">(Protección de Datos Personales).</w:t>
      </w:r>
    </w:p>
    <w:p>
      <w:pPr>
        <w:pStyle w:val="BodyText"/>
      </w:pPr>
      <w:r>
        <w:t xml:space="preserve">Esta es la</w:t>
      </w:r>
      <w:r>
        <w:t xml:space="preserve"> </w:t>
      </w:r>
      <w:r>
        <w:rPr>
          <w:b/>
          <w:bCs/>
        </w:rPr>
        <w:t xml:space="preserve">política de máximo nivel</w:t>
      </w:r>
      <w:r>
        <w:t xml:space="preserve"> </w:t>
      </w:r>
      <w:r>
        <w:t xml:space="preserve">del SGSI y da marco a las 15 políticas temáticas (POL-SGSI-01 a 15) y a los procedimientos operativos.</w:t>
      </w:r>
    </w:p>
    <w:bookmarkEnd w:id="21"/>
    <w:bookmarkStart w:id="22" w:name="objetivo"/>
    <w:p>
      <w:pPr>
        <w:pStyle w:val="Heading2"/>
      </w:pPr>
      <w:r>
        <w:t xml:space="preserve">3. Objetivo</w:t>
      </w:r>
    </w:p>
    <w:p>
      <w:pPr>
        <w:pStyle w:val="FirstParagraph"/>
      </w:pPr>
      <w:r>
        <w:t xml:space="preserve">Establecer los principios y el compromiso de la Dirección que orientan todas las decisiones de seguridad de la información de NovaRetail SpA, asegurando el cumplimiento legal, la continuidad del negocio y la protección de los datos de clientes.</w:t>
      </w:r>
    </w:p>
    <w:bookmarkEnd w:id="22"/>
    <w:bookmarkStart w:id="23" w:name="alcance"/>
    <w:p>
      <w:pPr>
        <w:pStyle w:val="Heading2"/>
      </w:pPr>
      <w:r>
        <w:t xml:space="preserve">4. Alcance</w:t>
      </w:r>
    </w:p>
    <w:p>
      <w:pPr>
        <w:pStyle w:val="FirstParagraph"/>
      </w:pPr>
      <w:r>
        <w:t xml:space="preserve">Aplica a todo el personal, contratistas, proveedores y terceros que accedan a la información o sistemas de NovaRetail SpA, en todas sus sedes (Santiago y La Serena) y servicios en la nube, según el documento de</w:t>
      </w:r>
      <w:r>
        <w:t xml:space="preserve"> </w:t>
      </w:r>
      <w:r>
        <w:rPr>
          <w:b/>
          <w:bCs/>
        </w:rPr>
        <w:t xml:space="preserve">Alcance del SGSI (GOB-SGSI-01)</w:t>
      </w:r>
      <w:r>
        <w:t xml:space="preserve">.</w:t>
      </w:r>
    </w:p>
    <w:bookmarkEnd w:id="23"/>
    <w:bookmarkStart w:id="24" w:name="principios-rectores"/>
    <w:p>
      <w:pPr>
        <w:pStyle w:val="Heading2"/>
      </w:pPr>
      <w:r>
        <w:t xml:space="preserve">5. Principios rectores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Mínimo privilegio y necesidad de conocer</w:t>
      </w:r>
      <w:r>
        <w:t xml:space="preserve"> </w:t>
      </w:r>
      <w:r>
        <w:t xml:space="preserve">— el acceso se otorga solo a lo necesario para la función.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Defensa en profundidad</w:t>
      </w:r>
      <w:r>
        <w:t xml:space="preserve"> </w:t>
      </w:r>
      <w:r>
        <w:t xml:space="preserve">— controles en capas (red, sistema, dato, persona).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Gestión basada en riesgos</w:t>
      </w:r>
      <w:r>
        <w:t xml:space="preserve"> </w:t>
      </w:r>
      <w:r>
        <w:t xml:space="preserve">— las decisiones se sustentan en la Matriz de Riesgos y el SoA.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Cumplimiento legal y contractual</w:t>
      </w:r>
      <w:r>
        <w:t xml:space="preserve"> </w:t>
      </w:r>
      <w:r>
        <w:t xml:space="preserve">— ISO 27001, PCI DSS, Ley 21.663 y Ley 19.628.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Protección de datos personales y de pago</w:t>
      </w:r>
      <w:r>
        <w:t xml:space="preserve"> </w:t>
      </w:r>
      <w:r>
        <w:t xml:space="preserve">desde el diseño y por defecto.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Respuesta oportuna a incidentes</w:t>
      </w:r>
      <w:r>
        <w:t xml:space="preserve"> </w:t>
      </w:r>
      <w:r>
        <w:t xml:space="preserve">— cumpliendo los plazos de notificación a la ANCI.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Mejora continua</w:t>
      </w:r>
      <w:r>
        <w:t xml:space="preserve"> </w:t>
      </w:r>
      <w:r>
        <w:t xml:space="preserve">— el SGSI se revisa y perfecciona periódicamente.</w:t>
      </w:r>
    </w:p>
    <w:bookmarkEnd w:id="24"/>
    <w:bookmarkStart w:id="25" w:name="objetivos-de-seguridad-cl.-6.2"/>
    <w:p>
      <w:pPr>
        <w:pStyle w:val="Heading2"/>
      </w:pPr>
      <w:r>
        <w:t xml:space="preserve">6. Objetivos de seguridad (cl. 6.2)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Indicador (KPI)</w:t>
            </w:r>
          </w:p>
        </w:tc>
        <w:tc>
          <w:tcPr/>
          <w:p>
            <w:pPr>
              <w:pStyle w:val="Compac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O-1</w:t>
            </w:r>
          </w:p>
        </w:tc>
        <w:tc>
          <w:tcPr/>
          <w:p>
            <w:pPr>
              <w:pStyle w:val="Compact"/>
            </w:pPr>
            <w:r>
              <w:t xml:space="preserve">Reducir el riesgo residual de los riesgos críticos (Nivel ≥ 15)</w:t>
            </w:r>
          </w:p>
        </w:tc>
        <w:tc>
          <w:tcPr/>
          <w:p>
            <w:pPr>
              <w:pStyle w:val="Compact"/>
            </w:pPr>
            <w:r>
              <w:t xml:space="preserve">N.º de riesgos críticos abiertos</w:t>
            </w:r>
          </w:p>
        </w:tc>
        <w:tc>
          <w:tcPr/>
          <w:p>
            <w:pPr>
              <w:pStyle w:val="Compact"/>
            </w:pPr>
            <w:r>
              <w:t xml:space="preserve">↓ ≥ 50 % 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O-2</w:t>
            </w:r>
          </w:p>
        </w:tc>
        <w:tc>
          <w:tcPr/>
          <w:p>
            <w:pPr>
              <w:pStyle w:val="Compact"/>
            </w:pPr>
            <w:r>
              <w:t xml:space="preserve">Cobertura de MFA en cuentas con acceso a sistemas</w:t>
            </w:r>
          </w:p>
        </w:tc>
        <w:tc>
          <w:tcPr/>
          <w:p>
            <w:pPr>
              <w:pStyle w:val="Compact"/>
            </w:pPr>
            <w:r>
              <w:t xml:space="preserve">% cuentas con MFA</w:t>
            </w:r>
          </w:p>
        </w:tc>
        <w:tc>
          <w:tcPr/>
          <w:p>
            <w:pPr>
              <w:pStyle w:val="Compact"/>
            </w:pPr>
            <w:r>
              <w:t xml:space="preserve">100 %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O-3</w:t>
            </w:r>
          </w:p>
        </w:tc>
        <w:tc>
          <w:tcPr/>
          <w:p>
            <w:pPr>
              <w:pStyle w:val="Compact"/>
            </w:pPr>
            <w:r>
              <w:t xml:space="preserve">Cumplir los plazos de notificación ANCI</w:t>
            </w:r>
          </w:p>
        </w:tc>
        <w:tc>
          <w:tcPr/>
          <w:p>
            <w:pPr>
              <w:pStyle w:val="Compact"/>
            </w:pPr>
            <w:r>
              <w:t xml:space="preserve">% incidentes N3 reportados ≤ 3 h</w:t>
            </w:r>
          </w:p>
        </w:tc>
        <w:tc>
          <w:tcPr/>
          <w:p>
            <w:pPr>
              <w:pStyle w:val="Compact"/>
            </w:pPr>
            <w:r>
              <w:t xml:space="preserve">100 %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O-4</w:t>
            </w:r>
          </w:p>
        </w:tc>
        <w:tc>
          <w:tcPr/>
          <w:p>
            <w:pPr>
              <w:pStyle w:val="Compact"/>
            </w:pPr>
            <w:r>
              <w:t xml:space="preserve">Backups probados (3-2-1)</w:t>
            </w:r>
          </w:p>
        </w:tc>
        <w:tc>
          <w:tcPr/>
          <w:p>
            <w:pPr>
              <w:pStyle w:val="Compact"/>
            </w:pPr>
            <w:r>
              <w:t xml:space="preserve">% pruebas de restauración exitosas</w:t>
            </w:r>
          </w:p>
        </w:tc>
        <w:tc>
          <w:tcPr/>
          <w:p>
            <w:pPr>
              <w:pStyle w:val="Compact"/>
            </w:pPr>
            <w:r>
              <w:t xml:space="preserve">100 % trimestral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O-5</w:t>
            </w:r>
          </w:p>
        </w:tc>
        <w:tc>
          <w:tcPr/>
          <w:p>
            <w:pPr>
              <w:pStyle w:val="Compact"/>
            </w:pPr>
            <w:r>
              <w:t xml:space="preserve">Personal capacitado en seguridad</w:t>
            </w:r>
          </w:p>
        </w:tc>
        <w:tc>
          <w:tcPr/>
          <w:p>
            <w:pPr>
              <w:pStyle w:val="Compact"/>
            </w:pPr>
            <w:r>
              <w:t xml:space="preserve">% personal con curso aprobado</w:t>
            </w:r>
          </w:p>
        </w:tc>
        <w:tc>
          <w:tcPr/>
          <w:p>
            <w:pPr>
              <w:pStyle w:val="Compact"/>
            </w:pPr>
            <w:r>
              <w:t xml:space="preserve">≥ 95 % 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O-6</w:t>
            </w:r>
          </w:p>
        </w:tc>
        <w:tc>
          <w:tcPr/>
          <w:p>
            <w:pPr>
              <w:pStyle w:val="Compact"/>
            </w:pPr>
            <w:r>
              <w:t xml:space="preserve">Vulnerabilidades críticas remediadas en SLA</w:t>
            </w:r>
          </w:p>
        </w:tc>
        <w:tc>
          <w:tcPr/>
          <w:p>
            <w:pPr>
              <w:pStyle w:val="Compact"/>
            </w:pPr>
            <w:r>
              <w:t xml:space="preserve">% remediadas en plazo</w:t>
            </w:r>
          </w:p>
        </w:tc>
        <w:tc>
          <w:tcPr/>
          <w:p>
            <w:pPr>
              <w:pStyle w:val="Compact"/>
            </w:pPr>
            <w:r>
              <w:t xml:space="preserve">≥ 90 %</w:t>
            </w:r>
          </w:p>
        </w:tc>
      </w:tr>
    </w:tbl>
    <w:p>
      <w:pPr>
        <w:pStyle w:val="BlockText"/>
      </w:pPr>
      <w:r>
        <w:t xml:space="preserve">El conjunto completo y medible de estos objetivos (con línea base, meta, frecuencia y responsable) se desarrolla en</w:t>
      </w:r>
      <w:r>
        <w:t xml:space="preserve"> </w:t>
      </w:r>
      <w:r>
        <w:rPr>
          <w:b/>
          <w:bCs/>
        </w:rPr>
        <w:t xml:space="preserve">Objetivos de Seguridad de la Información (GOB-SGSI-09)</w:t>
      </w:r>
      <w:r>
        <w:t xml:space="preserve">.</w:t>
      </w:r>
    </w:p>
    <w:bookmarkEnd w:id="25"/>
    <w:bookmarkStart w:id="26" w:name="roles-y-responsabilidades"/>
    <w:p>
      <w:pPr>
        <w:pStyle w:val="Heading2"/>
      </w:pPr>
      <w:r>
        <w:t xml:space="preserve">7. Roles y responsabilidades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Gerencia General</w:t>
      </w:r>
      <w:r>
        <w:t xml:space="preserve">: aprueba la política, asigna recursos y rinde cuentas del SGSI (Accountable).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CISO</w:t>
      </w:r>
      <w:r>
        <w:t xml:space="preserve">: lidera el SGSI, gestiona riesgos e incidentes y reporta a la Dirección.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Comité SGSI</w:t>
      </w:r>
      <w:r>
        <w:t xml:space="preserve">: gobierna, revisa y prioriza.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Gerencia/Infraestructura TI</w:t>
      </w:r>
      <w:r>
        <w:t xml:space="preserve">: implementa los controles técnicos.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Todo el personal</w:t>
      </w:r>
      <w:r>
        <w:t xml:space="preserve">: cumple las políticas y reporta incidentes.</w:t>
      </w:r>
    </w:p>
    <w:p>
      <w:pPr>
        <w:pStyle w:val="FirstParagraph"/>
      </w:pPr>
      <w:r>
        <w:t xml:space="preserve">Detalle en la</w:t>
      </w:r>
      <w:r>
        <w:t xml:space="preserve"> </w:t>
      </w:r>
      <w:r>
        <w:rPr>
          <w:b/>
          <w:bCs/>
        </w:rPr>
        <w:t xml:space="preserve">Matriz RACI (GOB-SGSI-04)</w:t>
      </w:r>
      <w:r>
        <w:t xml:space="preserve">.</w:t>
      </w:r>
    </w:p>
    <w:bookmarkEnd w:id="26"/>
    <w:bookmarkStart w:id="27" w:name="cumplimiento-y-consecuencias"/>
    <w:p>
      <w:pPr>
        <w:pStyle w:val="Heading2"/>
      </w:pPr>
      <w:r>
        <w:t xml:space="preserve">8. Cumplimiento y consecuencias</w:t>
      </w:r>
    </w:p>
    <w:p>
      <w:pPr>
        <w:pStyle w:val="FirstParagraph"/>
      </w:pPr>
      <w:r>
        <w:t xml:space="preserve">El incumplimiento de esta política o de sus políticas derivadas puede dar lugar a medidas disciplinarias conforme al Reglamento Interno y a la legislación laboral vigente, sin perjuicio de las acciones legales que correspondan.</w:t>
      </w:r>
    </w:p>
    <w:bookmarkEnd w:id="27"/>
    <w:bookmarkStart w:id="28" w:name="compromiso-de-mejora-continua"/>
    <w:p>
      <w:pPr>
        <w:pStyle w:val="Heading2"/>
      </w:pPr>
      <w:r>
        <w:t xml:space="preserve">9. Compromiso de mejora continua</w:t>
      </w:r>
    </w:p>
    <w:p>
      <w:pPr>
        <w:pStyle w:val="FirstParagraph"/>
      </w:pPr>
      <w:r>
        <w:t xml:space="preserve">La Dirección revisará el SGSI al menos una vez al año (Revisión por la Dirección, cl. 9.3) y ante cambios significativos, asegurando su adecuación y eficacia.</w:t>
      </w:r>
    </w:p>
    <w:bookmarkEnd w:id="28"/>
    <w:bookmarkStart w:id="29" w:name="documentos-relacionados"/>
    <w:p>
      <w:pPr>
        <w:pStyle w:val="Heading2"/>
      </w:pPr>
      <w:r>
        <w:t xml:space="preserve">10. Documentos relacionados</w:t>
      </w:r>
    </w:p>
    <w:p>
      <w:pPr>
        <w:pStyle w:val="Compact"/>
        <w:numPr>
          <w:ilvl w:val="0"/>
          <w:numId w:val="1003"/>
        </w:numPr>
      </w:pPr>
      <w:r>
        <w:t xml:space="preserve">Alcance del SGSI (GOB-SGSI-01), Acta CISO/Comité (GOB-SGSI-03), Matriz RACI (GOB-SGSI-04)</w:t>
      </w:r>
    </w:p>
    <w:p>
      <w:pPr>
        <w:pStyle w:val="Compact"/>
        <w:numPr>
          <w:ilvl w:val="0"/>
          <w:numId w:val="1003"/>
        </w:numPr>
      </w:pPr>
      <w:r>
        <w:t xml:space="preserve">Matriz de Riesgos y SoA (</w:t>
      </w:r>
      <w:r>
        <w:rPr>
          <w:rStyle w:val="VerbatimChar"/>
        </w:rPr>
        <w:t xml:space="preserve">04-analisis/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POL-SGSI-01 a 15 y PROC-SGSI-01 a 18</w:t>
      </w:r>
    </w:p>
    <w:bookmarkEnd w:id="29"/>
    <w:bookmarkStart w:id="30" w:name="control-de-cambios"/>
    <w:p>
      <w:pPr>
        <w:pStyle w:val="Heading2"/>
      </w:pPr>
      <w:r>
        <w:t xml:space="preserve">11. Control de cambios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17-06-2026</w:t>
            </w:r>
          </w:p>
        </w:tc>
        <w:tc>
          <w:tcPr/>
          <w:p>
            <w:pPr>
              <w:pStyle w:val="Compact"/>
            </w:pPr>
            <w:r>
              <w:t xml:space="preserve">Emisión inicial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Aprobada por la Gerencia General de NovaRetail SpA.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2026-06-18T01:26:55Z</dcterms:created>
  <dcterms:modified xsi:type="dcterms:W3CDTF">2026-06-18T01:26:55Z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