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6c3b124c26911eb11c66633291f3b9678080f9"/>
    <w:p>
      <w:pPr>
        <w:pStyle w:val="Heading1"/>
      </w:pPr>
      <w:r>
        <w:t xml:space="preserve">Procedimiento de Auditoría Interna del SGSI — NovaRetail SpA</w:t>
      </w:r>
    </w:p>
    <w:p>
      <w:pPr>
        <w:pStyle w:val="BlockText"/>
      </w:pPr>
      <w:r>
        <w:t xml:space="preserve">ISO/IEC 27001:2022 — Cláusula 9.2 «Auditoría interna» · Controles Anexo A 5.35 (Revisión independiente) y 5.36 (Cumplimiento de políticas)</w:t>
      </w:r>
      <w:r>
        <w:t xml:space="preserve"> </w:t>
      </w:r>
      <w:r>
        <w:t xml:space="preserve">NIST CSF 2.0 — Función</w:t>
      </w:r>
      <w:r>
        <w:t xml:space="preserve"> </w:t>
      </w:r>
      <w:r>
        <w:rPr>
          <w:b/>
          <w:bCs/>
        </w:rPr>
        <w:t xml:space="preserve">GOVERN (GV.OV — Oversight)</w:t>
      </w:r>
    </w:p>
    <w:bookmarkStart w:id="20" w:name="control-documental"/>
    <w:p>
      <w:pPr>
        <w:pStyle w:val="Heading2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GOB-SGSI-05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</w:pPr>
            <w:r>
              <w:t xml:space="preserve">17-06-2027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Equipo SGSI — Thynk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t xml:space="preserve">Comité SGSI</w:t>
            </w:r>
          </w:p>
        </w:tc>
      </w:tr>
    </w:tbl>
    <w:bookmarkEnd w:id="20"/>
    <w:bookmarkStart w:id="21" w:name="propósito"/>
    <w:p>
      <w:pPr>
        <w:pStyle w:val="Heading2"/>
      </w:pPr>
      <w:r>
        <w:t xml:space="preserve">2. Propósito</w:t>
      </w:r>
    </w:p>
    <w:p>
      <w:pPr>
        <w:pStyle w:val="FirstParagraph"/>
      </w:pPr>
      <w:r>
        <w:t xml:space="preserve">Establecer cómo NovaRetail SpA planifica y ejecuta auditorías internas para verificar que el SGSI</w:t>
      </w:r>
      <w:r>
        <w:t xml:space="preserve"> </w:t>
      </w:r>
      <w:r>
        <w:rPr>
          <w:b/>
          <w:bCs/>
        </w:rPr>
        <w:t xml:space="preserve">es conforme</w:t>
      </w:r>
      <w:r>
        <w:t xml:space="preserve"> </w:t>
      </w:r>
      <w:r>
        <w:t xml:space="preserve">con los requisitos de ISO/IEC 27001:2022, con los requisitos propios de la organización (PCI DSS v4.0, Ley 21.663, Ley 19.628), y que está</w:t>
      </w:r>
      <w:r>
        <w:t xml:space="preserve"> </w:t>
      </w:r>
      <w:r>
        <w:rPr>
          <w:b/>
          <w:bCs/>
        </w:rPr>
        <w:t xml:space="preserve">implementado y mantenido eficazmente</w:t>
      </w:r>
      <w:r>
        <w:t xml:space="preserve">.</w:t>
      </w:r>
    </w:p>
    <w:bookmarkEnd w:id="21"/>
    <w:bookmarkStart w:id="22" w:name="alcance"/>
    <w:p>
      <w:pPr>
        <w:pStyle w:val="Heading2"/>
      </w:pPr>
      <w:r>
        <w:t xml:space="preserve">3. Alcance</w:t>
      </w:r>
    </w:p>
    <w:p>
      <w:pPr>
        <w:pStyle w:val="FirstParagraph"/>
      </w:pPr>
      <w:r>
        <w:t xml:space="preserve">Cubre todos los procesos, políticas (POL-SGSI-01 a 15), procedimientos (PROC-SGSI-01 a 18) y controles del SoA dentro del alcance del SGSI (GOB-SGSI-01).</w:t>
      </w:r>
    </w:p>
    <w:bookmarkEnd w:id="22"/>
    <w:bookmarkStart w:id="23" w:name="principios"/>
    <w:p>
      <w:pPr>
        <w:pStyle w:val="Heading2"/>
      </w:pPr>
      <w:r>
        <w:t xml:space="preserve">4. Principios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Independencia y objetividad</w:t>
      </w:r>
      <w:r>
        <w:t xml:space="preserve">: los auditores no auditan su propio trabajo ni el de su área directa.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Evidencia objetiva</w:t>
      </w:r>
      <w:r>
        <w:t xml:space="preserve">: los hallazgos se sustentan en registros, entrevistas y observación.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Enfoque basado en riesgos</w:t>
      </w:r>
      <w:r>
        <w:t xml:space="preserve">: se prioriza la auditoría de los procesos asociados a riesgos Crítico/Alto.</w:t>
      </w:r>
    </w:p>
    <w:bookmarkEnd w:id="23"/>
    <w:bookmarkStart w:id="24" w:name="programa-anual-de-auditoría-cl.-9.2.2"/>
    <w:p>
      <w:pPr>
        <w:pStyle w:val="Heading2"/>
      </w:pPr>
      <w:r>
        <w:t xml:space="preserve">5. Programa anual de auditoría (cl. 9.2.2)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Al menos</w:t>
            </w:r>
            <w:r>
              <w:t xml:space="preserve"> </w:t>
            </w:r>
            <w:r>
              <w:rPr>
                <w:b/>
                <w:bCs/>
              </w:rPr>
              <w:t xml:space="preserve">una auditoría interna anual</w:t>
            </w:r>
            <w:r>
              <w:t xml:space="preserve"> </w:t>
            </w:r>
            <w:r>
              <w:t xml:space="preserve">del SGSI; los procesos críticos pueden auditarse con mayor frecuencia.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del programa</w:t>
            </w:r>
          </w:p>
        </w:tc>
        <w:tc>
          <w:tcPr/>
          <w:p>
            <w:pPr>
              <w:pStyle w:val="Compact"/>
            </w:pPr>
            <w:r>
              <w:t xml:space="preserve">CISO (planifica);</w:t>
            </w:r>
            <w:r>
              <w:t xml:space="preserve"> </w:t>
            </w:r>
            <w:r>
              <w:rPr>
                <w:b/>
                <w:bCs/>
              </w:rPr>
              <w:t xml:space="preserve">Auditoría Interna</w:t>
            </w:r>
            <w:r>
              <w:t xml:space="preserve"> </w:t>
            </w:r>
            <w:r>
              <w:t xml:space="preserve">o tercero independiente (ejecuta).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Criterios</w:t>
            </w:r>
          </w:p>
        </w:tc>
        <w:tc>
          <w:tcPr/>
          <w:p>
            <w:pPr>
              <w:pStyle w:val="Compact"/>
            </w:pPr>
            <w:r>
              <w:t xml:space="preserve">ISO/IEC 27001:2022, políticas y procedimientos del SGSI, requisitos legales y PCI DSS.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</w:t>
            </w:r>
          </w:p>
        </w:tc>
        <w:tc>
          <w:tcPr/>
          <w:p>
            <w:pPr>
              <w:pStyle w:val="Compact"/>
            </w:pPr>
            <w:r>
              <w:t xml:space="preserve">Comité SGSI.</w:t>
            </w:r>
          </w:p>
        </w:tc>
      </w:tr>
    </w:tbl>
    <w:bookmarkEnd w:id="24"/>
    <w:bookmarkStart w:id="25" w:name="etapas-del-proceso"/>
    <w:p>
      <w:pPr>
        <w:pStyle w:val="Heading2"/>
      </w:pPr>
      <w:r>
        <w:t xml:space="preserve">6. Etapas del proceso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Planificación</w:t>
      </w:r>
      <w:r>
        <w:t xml:space="preserve"> </w:t>
      </w:r>
      <w:r>
        <w:t xml:space="preserve">— definir objetivo, alcance, criterios y calendario de la auditoría; designar al equipo auditor independiente.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Preparación</w:t>
      </w:r>
      <w:r>
        <w:t xml:space="preserve"> </w:t>
      </w:r>
      <w:r>
        <w:t xml:space="preserve">— revisar documentación, auditorías previas y estado de riesgos; elaborar la lista de verificación.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Ejecución</w:t>
      </w:r>
      <w:r>
        <w:t xml:space="preserve"> </w:t>
      </w:r>
      <w:r>
        <w:t xml:space="preserve">— reunión de apertura, recopilación de evidencia (entrevistas, registros, observación) y registro de hallazgos.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Clasificación de hallazgos</w:t>
      </w:r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</w:t>
            </w:r>
          </w:p>
        </w:tc>
        <w:tc>
          <w:tcPr/>
          <w:p>
            <w:pPr>
              <w:pStyle w:val="Compact"/>
            </w:pPr>
            <w:r>
              <w:t xml:space="preserve">Cumple el criterio auditado.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conformidad mayor</w:t>
            </w:r>
          </w:p>
        </w:tc>
        <w:tc>
          <w:tcPr/>
          <w:p>
            <w:pPr>
              <w:pStyle w:val="Compact"/>
            </w:pPr>
            <w:r>
              <w:t xml:space="preserve">Ausencia o falla sistémica de un requisito.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conformidad menor</w:t>
            </w:r>
          </w:p>
        </w:tc>
        <w:tc>
          <w:tcPr/>
          <w:p>
            <w:pPr>
              <w:pStyle w:val="Compact"/>
            </w:pPr>
            <w:r>
              <w:t xml:space="preserve">Desviación puntual que no compromete 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</w:pPr>
            <w:r>
              <w:t xml:space="preserve">Debilidad potencial que conviene atender.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Oportunidad de mejora</w:t>
            </w:r>
          </w:p>
        </w:tc>
        <w:tc>
          <w:tcPr/>
          <w:p>
            <w:pPr>
              <w:pStyle w:val="Compact"/>
            </w:pPr>
            <w:r>
              <w:t xml:space="preserve">Sugerencia que agrega valor sin ser un incumplimiento.</w:t>
            </w:r>
          </w:p>
        </w:tc>
      </w:tr>
    </w:tbl>
    <w:p>
      <w:pPr>
        <w:numPr>
          <w:ilvl w:val="0"/>
          <w:numId w:val="1002"/>
        </w:numPr>
      </w:pPr>
      <w:r>
        <w:rPr>
          <w:b/>
          <w:bCs/>
        </w:rPr>
        <w:t xml:space="preserve">Informe de auditoría</w:t>
      </w:r>
      <w:r>
        <w:t xml:space="preserve"> </w:t>
      </w:r>
      <w:r>
        <w:t xml:space="preserve">— resultados, hallazgos clasificados y conclusiones; se entrega al CISO y al Comité SGSI.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Tratamiento</w:t>
      </w:r>
      <w:r>
        <w:t xml:space="preserve"> </w:t>
      </w:r>
      <w:r>
        <w:t xml:space="preserve">— las no conformidades se derivan al</w:t>
      </w:r>
      <w:r>
        <w:t xml:space="preserve"> </w:t>
      </w:r>
      <w:r>
        <w:rPr>
          <w:b/>
          <w:bCs/>
        </w:rPr>
        <w:t xml:space="preserve">Procedimiento de No Conformidades y Acciones Correctivas (GOB-SGSI-07)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Seguimiento</w:t>
      </w:r>
      <w:r>
        <w:t xml:space="preserve"> </w:t>
      </w:r>
      <w:r>
        <w:t xml:space="preserve">— verificación del cierre de las acciones en la siguiente auditoría o en un plazo definido.</w:t>
      </w:r>
    </w:p>
    <w:bookmarkEnd w:id="25"/>
    <w:bookmarkStart w:id="26" w:name="entradas-a-la-revisión-por-la-dirección"/>
    <w:p>
      <w:pPr>
        <w:pStyle w:val="Heading2"/>
      </w:pPr>
      <w:r>
        <w:t xml:space="preserve">7. Entradas a la Revisión por la Dirección</w:t>
      </w:r>
    </w:p>
    <w:p>
      <w:pPr>
        <w:pStyle w:val="FirstParagraph"/>
      </w:pPr>
      <w:r>
        <w:t xml:space="preserve">Los resultados de auditoría son una</w:t>
      </w:r>
      <w:r>
        <w:t xml:space="preserve"> </w:t>
      </w:r>
      <w:r>
        <w:rPr>
          <w:b/>
          <w:bCs/>
        </w:rPr>
        <w:t xml:space="preserve">entrada obligatoria</w:t>
      </w:r>
      <w:r>
        <w:t xml:space="preserve"> </w:t>
      </w:r>
      <w:r>
        <w:t xml:space="preserve">de la</w:t>
      </w:r>
      <w:r>
        <w:t xml:space="preserve"> </w:t>
      </w:r>
      <w:r>
        <w:rPr>
          <w:b/>
          <w:bCs/>
        </w:rPr>
        <w:t xml:space="preserve">Revisión por la Dirección (GOB-SGSI-06, cl. 9.3)</w:t>
      </w:r>
      <w:r>
        <w:t xml:space="preserve">.</w:t>
      </w:r>
    </w:p>
    <w:bookmarkEnd w:id="26"/>
    <w:bookmarkStart w:id="27" w:name="roles-según-matriz-raci-gob-sgsi-04"/>
    <w:p>
      <w:pPr>
        <w:pStyle w:val="Heading2"/>
      </w:pPr>
      <w:r>
        <w:t xml:space="preserve">8. Roles (según Matriz RACI — GOB-SGSI-04)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Auditoría Interna</w:t>
      </w:r>
      <w:r>
        <w:t xml:space="preserve">: ejecuta la auditoría (Responsable).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Comité SGSI</w:t>
      </w:r>
      <w:r>
        <w:t xml:space="preserve">: aprueba el programa y recibe los resultados (Accountable).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CISO</w:t>
      </w:r>
      <w:r>
        <w:t xml:space="preserve">: planifica, facilita y da seguimiento.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Dueños de procesos</w:t>
      </w:r>
      <w:r>
        <w:t xml:space="preserve">: aportan evidencia y ejecutan las acciones correctivas.</w:t>
      </w:r>
    </w:p>
    <w:bookmarkEnd w:id="27"/>
    <w:bookmarkStart w:id="28" w:name="registros-y-evidencias-cl.-7.5-9.2"/>
    <w:p>
      <w:pPr>
        <w:pStyle w:val="Heading2"/>
      </w:pPr>
      <w:r>
        <w:t xml:space="preserve">9. Registros y evidencias (cl. 7.5 / 9.2)</w:t>
      </w:r>
    </w:p>
    <w:p>
      <w:pPr>
        <w:pStyle w:val="FirstParagraph"/>
      </w:pPr>
      <w:r>
        <w:t xml:space="preserve">Programa anual, plan de cada auditoría, listas de verificación, informe de auditoría y registros de seguimiento se archivan en</w:t>
      </w:r>
      <w:r>
        <w:t xml:space="preserve"> </w:t>
      </w:r>
      <w:r>
        <w:rPr>
          <w:rStyle w:val="VerbatimChar"/>
        </w:rPr>
        <w:t xml:space="preserve">03-evidencias/</w:t>
      </w:r>
      <w:r>
        <w:t xml:space="preserve"> </w:t>
      </w:r>
      <w:r>
        <w:t xml:space="preserve">con su control de versión.</w:t>
      </w:r>
    </w:p>
    <w:bookmarkEnd w:id="28"/>
    <w:bookmarkStart w:id="29" w:name="documentos-relacionados"/>
    <w:p>
      <w:pPr>
        <w:pStyle w:val="Heading2"/>
      </w:pPr>
      <w:r>
        <w:t xml:space="preserve">10. Documentos relacionados</w:t>
      </w:r>
    </w:p>
    <w:p>
      <w:pPr>
        <w:pStyle w:val="Compact"/>
        <w:numPr>
          <w:ilvl w:val="0"/>
          <w:numId w:val="1004"/>
        </w:numPr>
      </w:pPr>
      <w:r>
        <w:t xml:space="preserve">Revisión por la Dirección (GOB-SGSI-06) · No Conformidades y Acciones Correctivas (GOB-SGSI-07)</w:t>
      </w:r>
    </w:p>
    <w:p>
      <w:pPr>
        <w:pStyle w:val="Compact"/>
        <w:numPr>
          <w:ilvl w:val="0"/>
          <w:numId w:val="1004"/>
        </w:numPr>
      </w:pPr>
      <w:r>
        <w:t xml:space="preserve">Política General de Seguridad (GOB-SGSI-02) · Matriz RACI (GOB-SGSI-04)</w:t>
      </w:r>
    </w:p>
    <w:bookmarkEnd w:id="29"/>
    <w:bookmarkStart w:id="30" w:name="control-de-cambios"/>
    <w:p>
      <w:pPr>
        <w:pStyle w:val="Heading2"/>
      </w:pPr>
      <w:r>
        <w:t xml:space="preserve">11.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  <w:tc>
          <w:tcPr/>
          <w:p>
            <w:pPr>
              <w:pStyle w:val="Compact"/>
            </w:pPr>
            <w:r>
              <w:t xml:space="preserve">Emisión inicial (cierra la brecha G-4 del Gap Analysis).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2026-06-18T01:26:55Z</dcterms:created>
  <dcterms:modified xsi:type="dcterms:W3CDTF">2026-06-18T01:26:55Z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