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4efa11e2031e1cd03e38e7c3a5e7014bc81bfb"/>
    <w:p>
      <w:pPr>
        <w:pStyle w:val="Heading1"/>
      </w:pPr>
      <w:r>
        <w:t xml:space="preserve">Procedimiento de Gestión de No Conformidades y Acciones Correctivas — NovaRetail SpA</w:t>
      </w:r>
    </w:p>
    <w:p>
      <w:pPr>
        <w:pStyle w:val="BlockText"/>
      </w:pPr>
      <w:r>
        <w:t xml:space="preserve">ISO/IEC 27001:2022 — Cláusula 10.1 «Mejora continua» y 10.2 «No conformidad y acción correctiva»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IMPROVE (ID.IM)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Comité SGSI</w:t>
            </w:r>
          </w:p>
        </w:tc>
      </w:tr>
    </w:tbl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Establecer cómo NovaRetail SpA identifica, registra y trata las</w:t>
      </w:r>
      <w:r>
        <w:t xml:space="preserve"> </w:t>
      </w:r>
      <w:r>
        <w:rPr>
          <w:b/>
          <w:bCs/>
        </w:rPr>
        <w:t xml:space="preserve">no conformidades</w:t>
      </w:r>
      <w:r>
        <w:t xml:space="preserve"> </w:t>
      </w:r>
      <w:r>
        <w:t xml:space="preserve">del SGSI mediante</w:t>
      </w:r>
      <w:r>
        <w:t xml:space="preserve"> </w:t>
      </w:r>
      <w:r>
        <w:rPr>
          <w:b/>
          <w:bCs/>
        </w:rPr>
        <w:t xml:space="preserve">acciones correctivas</w:t>
      </w:r>
      <w:r>
        <w:t xml:space="preserve">, y cómo impulsa la</w:t>
      </w:r>
      <w:r>
        <w:t xml:space="preserve"> </w:t>
      </w:r>
      <w:r>
        <w:rPr>
          <w:b/>
          <w:bCs/>
        </w:rPr>
        <w:t xml:space="preserve">mejora continua</w:t>
      </w:r>
      <w:r>
        <w:t xml:space="preserve">, conforme a las cláusulas 10.1 y 10.2 de ISO/IEC 27001:2022.</w:t>
      </w:r>
    </w:p>
    <w:bookmarkEnd w:id="21"/>
    <w:bookmarkStart w:id="22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conformidad (NC)</w:t>
      </w:r>
      <w:r>
        <w:t xml:space="preserve">: incumplimiento de un requisito (de la norma, de una política/procedimiento propio o de un requisito legal/contractual).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Corrección</w:t>
      </w:r>
      <w:r>
        <w:t xml:space="preserve">: acción inmediata para eliminar la NC detectada.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Acción correctiva</w:t>
      </w:r>
      <w:r>
        <w:t xml:space="preserve">: acción para eliminar la</w:t>
      </w:r>
      <w:r>
        <w:t xml:space="preserve"> </w:t>
      </w:r>
      <w:r>
        <w:rPr>
          <w:b/>
          <w:bCs/>
        </w:rPr>
        <w:t xml:space="preserve">causa raíz</w:t>
      </w:r>
      <w:r>
        <w:t xml:space="preserve"> </w:t>
      </w:r>
      <w:r>
        <w:t xml:space="preserve">y evitar que la NC vuelva a ocurrir.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Oportunidad de mejora</w:t>
      </w:r>
      <w:r>
        <w:t xml:space="preserve">: cambio que aumenta la eficacia del SGSI sin originarse en una NC.</w:t>
      </w:r>
    </w:p>
    <w:bookmarkEnd w:id="22"/>
    <w:bookmarkStart w:id="23" w:name="fuentes-de-no-conformidades"/>
    <w:p>
      <w:pPr>
        <w:pStyle w:val="Heading2"/>
      </w:pPr>
      <w:r>
        <w:t xml:space="preserve">4. Fuentes de no conformidades</w:t>
      </w:r>
    </w:p>
    <w:p>
      <w:pPr>
        <w:pStyle w:val="FirstParagraph"/>
      </w:pPr>
      <w:r>
        <w:t xml:space="preserve">Auditorías internas (GOB-SGSI-05), incidentes de seguridad (PROC-SGSI-05), resultados de monitoreo y KPIs (GOB-SGSI-09), revisiones por la dirección (GOB-SGSI-06), reclamos de partes interesadas y hallazgos de cumplimiento legal/PCI.</w:t>
      </w:r>
    </w:p>
    <w:bookmarkEnd w:id="23"/>
    <w:bookmarkStart w:id="24" w:name="proceso-cl.-10.2"/>
    <w:p>
      <w:pPr>
        <w:pStyle w:val="Heading2"/>
      </w:pPr>
      <w:r>
        <w:t xml:space="preserve">5. Proceso (cl. 10.2)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Detección y registro</w:t>
      </w:r>
      <w:r>
        <w:t xml:space="preserve"> </w:t>
      </w:r>
      <w:r>
        <w:t xml:space="preserve">de la NC en el</w:t>
      </w:r>
      <w:r>
        <w:t xml:space="preserve"> </w:t>
      </w:r>
      <w:r>
        <w:rPr>
          <w:b/>
          <w:bCs/>
        </w:rPr>
        <w:t xml:space="preserve">Registro de No Conformidades</w:t>
      </w:r>
      <w:r>
        <w:t xml:space="preserve"> </w:t>
      </w:r>
      <w:r>
        <w:t xml:space="preserve">(ver sección 7), con descripción, origen, fecha y responsable.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Reacción inmediata</w:t>
      </w:r>
      <w:r>
        <w:t xml:space="preserve">: aplicar la corrección y controlar/contener las consecuencias.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 de la necesidad de acción correctiva</w:t>
      </w:r>
      <w:r>
        <w:t xml:space="preserve">: ¿requiere eliminar la causa para que no se repita?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Análisis de causa raíz</w:t>
      </w:r>
      <w:r>
        <w:t xml:space="preserve"> </w:t>
      </w:r>
      <w:r>
        <w:t xml:space="preserve">(p. ej. «5 porqués» o Ishikawa); revisar si NC similares existen o podrían ocurrir en otros procesos.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 de acción correctiva</w:t>
      </w:r>
      <w:r>
        <w:t xml:space="preserve">: acciones, responsable y plazo.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Implementación</w:t>
      </w:r>
      <w:r>
        <w:t xml:space="preserve"> </w:t>
      </w:r>
      <w:r>
        <w:t xml:space="preserve">de las acciones.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Verificación de la eficacia</w:t>
      </w:r>
      <w:r>
        <w:t xml:space="preserve">: confirmar que la causa fue eliminada y la NC no reincide.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Actualización del SGSI</w:t>
      </w:r>
      <w:r>
        <w:t xml:space="preserve"> </w:t>
      </w:r>
      <w:r>
        <w:t xml:space="preserve">si corresponde: ajustar riesgos (ANR-SGSI-02), políticas, procedimientos o el SoA.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Cierre</w:t>
      </w:r>
      <w:r>
        <w:t xml:space="preserve"> </w:t>
      </w:r>
      <w:r>
        <w:t xml:space="preserve">de la NC, dejando registro de la evidencia.</w:t>
      </w:r>
    </w:p>
    <w:p>
      <w:pPr>
        <w:pStyle w:val="SourceCode"/>
      </w:pPr>
      <w:r>
        <w:rPr>
          <w:rStyle w:val="VerbatimChar"/>
        </w:rPr>
        <w:t xml:space="preserve">NC detectada → corrección inmediata → ¿acción correctiva?</w:t>
      </w:r>
      <w:r>
        <w:br/>
      </w:r>
      <w:r>
        <w:rPr>
          <w:rStyle w:val="VerbatimChar"/>
        </w:rPr>
        <w:t xml:space="preserve">   └─ sí → causa raíz → plan → implementación → verificación de eficacia → cierre</w:t>
      </w:r>
      <w:r>
        <w:br/>
      </w:r>
      <w:r>
        <w:rPr>
          <w:rStyle w:val="VerbatimChar"/>
        </w:rPr>
        <w:t xml:space="preserve">   └─ no → corrección + registro → cierre</w:t>
      </w:r>
    </w:p>
    <w:bookmarkEnd w:id="24"/>
    <w:bookmarkStart w:id="25" w:name="clasificación-y-plazos-sugeridos"/>
    <w:p>
      <w:pPr>
        <w:pStyle w:val="Heading2"/>
      </w:pPr>
      <w:r>
        <w:t xml:space="preserve">6. Clasificación y plazos sugeridos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Plazo objetivo de 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Mayor</w:t>
            </w:r>
          </w:p>
        </w:tc>
        <w:tc>
          <w:tcPr/>
          <w:p>
            <w:pPr>
              <w:pStyle w:val="Compact"/>
            </w:pPr>
            <w:r>
              <w:t xml:space="preserve">Falla sistémica o incumplimiento legal/PCI</w:t>
            </w:r>
          </w:p>
        </w:tc>
        <w:tc>
          <w:tcPr/>
          <w:p>
            <w:pPr>
              <w:pStyle w:val="Compact"/>
            </w:pPr>
            <w:r>
              <w:t xml:space="preserve">≤ 30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Menor</w:t>
            </w:r>
          </w:p>
        </w:tc>
        <w:tc>
          <w:tcPr/>
          <w:p>
            <w:pPr>
              <w:pStyle w:val="Compact"/>
            </w:pPr>
            <w:r>
              <w:t xml:space="preserve">Desviación puntual</w:t>
            </w:r>
          </w:p>
        </w:tc>
        <w:tc>
          <w:tcPr/>
          <w:p>
            <w:pPr>
              <w:pStyle w:val="Compact"/>
            </w:pPr>
            <w:r>
              <w:t xml:space="preserve">≤ 60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Observación / mejora</w:t>
            </w:r>
          </w:p>
        </w:tc>
        <w:tc>
          <w:tcPr/>
          <w:p>
            <w:pPr>
              <w:pStyle w:val="Compact"/>
            </w:pPr>
            <w:r>
              <w:t xml:space="preserve">Sin incumplimiento</w:t>
            </w:r>
          </w:p>
        </w:tc>
        <w:tc>
          <w:tcPr/>
          <w:p>
            <w:pPr>
              <w:pStyle w:val="Compact"/>
            </w:pPr>
            <w:r>
              <w:t xml:space="preserve">Según planificación</w:t>
            </w:r>
          </w:p>
        </w:tc>
      </w:tr>
    </w:tbl>
    <w:bookmarkEnd w:id="25"/>
    <w:bookmarkStart w:id="26" w:name="registro-de-no-conformidades"/>
    <w:p>
      <w:pPr>
        <w:pStyle w:val="Heading2"/>
      </w:pPr>
      <w:r>
        <w:t xml:space="preserve">7. Registro de No Conformidades</w:t>
      </w:r>
    </w:p>
    <w:p>
      <w:pPr>
        <w:pStyle w:val="FirstParagraph"/>
      </w:pPr>
      <w:r>
        <w:t xml:space="preserve">Se mantiene un registro (planilla o sistema) con, al menos: ID, fecha, origen, descripción, severidad, corrección, causa raíz, acción correctiva, responsable, plazo, verificación de eficacia y estado (Abierta / En curso / Cerrada). Se archiva en</w:t>
      </w:r>
      <w:r>
        <w:t xml:space="preserve"> </w:t>
      </w:r>
      <w:r>
        <w:rPr>
          <w:rStyle w:val="VerbatimChar"/>
        </w:rPr>
        <w:t xml:space="preserve">03-evidencias/</w:t>
      </w:r>
      <w:r>
        <w:t xml:space="preserve">.</w:t>
      </w:r>
    </w:p>
    <w:bookmarkEnd w:id="26"/>
    <w:bookmarkStart w:id="27" w:name="mejora-continua-cl.-10.1"/>
    <w:p>
      <w:pPr>
        <w:pStyle w:val="Heading2"/>
      </w:pPr>
      <w:r>
        <w:t xml:space="preserve">8. Mejora continua (cl. 10.1)</w:t>
      </w:r>
    </w:p>
    <w:p>
      <w:pPr>
        <w:pStyle w:val="FirstParagraph"/>
      </w:pPr>
      <w:r>
        <w:t xml:space="preserve">La organización mejora de forma continua la conveniencia, adecuación y eficacia del SGSI usando: la política y los objetivos de seguridad, los resultados de auditoría, el análisis de datos (KPIs), las acciones correctivas y las salidas de la revisión por la dirección.</w:t>
      </w:r>
    </w:p>
    <w:bookmarkEnd w:id="27"/>
    <w:bookmarkStart w:id="28" w:name="roles-según-matriz-raci-gob-sgsi-04"/>
    <w:p>
      <w:pPr>
        <w:pStyle w:val="Heading2"/>
      </w:pPr>
      <w:r>
        <w:t xml:space="preserve">9. Roles (según Matriz RACI — GOB-SGSI-04)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CISO</w:t>
      </w:r>
      <w:r>
        <w:t xml:space="preserve">: gestiona el registro y coordina las acciones correctivas (Responsable).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Comité SGSI</w:t>
      </w:r>
      <w:r>
        <w:t xml:space="preserve">: supervisa la mejora continua (Accountable).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Dueños de procesos</w:t>
      </w:r>
      <w:r>
        <w:t xml:space="preserve">: ejecutan correcciones y acciones correctivas en su ámbito.</w:t>
      </w:r>
    </w:p>
    <w:bookmarkEnd w:id="28"/>
    <w:bookmarkStart w:id="29" w:name="documentos-relacionados"/>
    <w:p>
      <w:pPr>
        <w:pStyle w:val="Heading2"/>
      </w:pPr>
      <w:r>
        <w:t xml:space="preserve">10. Documentos relacionados</w:t>
      </w:r>
    </w:p>
    <w:p>
      <w:pPr>
        <w:pStyle w:val="Compact"/>
        <w:numPr>
          <w:ilvl w:val="0"/>
          <w:numId w:val="1004"/>
        </w:numPr>
      </w:pPr>
      <w:r>
        <w:t xml:space="preserve">Auditoría Interna (GOB-SGSI-05) · Revisión por la Dirección (GOB-SGSI-06)</w:t>
      </w:r>
    </w:p>
    <w:p>
      <w:pPr>
        <w:pStyle w:val="Compact"/>
        <w:numPr>
          <w:ilvl w:val="0"/>
          <w:numId w:val="1004"/>
        </w:numPr>
      </w:pPr>
      <w:r>
        <w:t xml:space="preserve">Gestión de incidentes y reporte ANCI (POL-SGSI-11 · PROC-SGSI-05)</w:t>
      </w:r>
    </w:p>
    <w:bookmarkEnd w:id="29"/>
    <w:bookmarkStart w:id="30" w:name="control-de-cambios"/>
    <w:p>
      <w:pPr>
        <w:pStyle w:val="Heading2"/>
      </w:pPr>
      <w:r>
        <w:t xml:space="preserve">11.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 (cierra la brecha G-6 del Gap Analysis).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2026-06-18T01:26:55Z</dcterms:created>
  <dcterms:modified xsi:type="dcterms:W3CDTF">2026-06-18T01:26:55Z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