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27fcf281c8170007f99c50c8ef34e1383d7bc6"/>
    <w:p>
      <w:pPr>
        <w:pStyle w:val="Heading1"/>
      </w:pPr>
      <w:r>
        <w:t xml:space="preserve">Procedimiento de Revisión por la Dirección — NovaRetail SpA</w:t>
      </w:r>
    </w:p>
    <w:p>
      <w:pPr>
        <w:pStyle w:val="BlockText"/>
      </w:pPr>
      <w:r>
        <w:t xml:space="preserve">ISO/IEC 27001:2022 — Cláusula 9.3 «Revisión por la dirección»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(GV.OV — Oversight)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Establecer cómo la</w:t>
      </w:r>
      <w:r>
        <w:t xml:space="preserve"> </w:t>
      </w:r>
      <w:r>
        <w:rPr>
          <w:b/>
          <w:bCs/>
        </w:rPr>
        <w:t xml:space="preserve">Gerencia General</w:t>
      </w:r>
      <w:r>
        <w:t xml:space="preserve"> </w:t>
      </w:r>
      <w:r>
        <w:t xml:space="preserve">revisa periódicamente el SGSI para asegurar su</w:t>
      </w:r>
      <w:r>
        <w:t xml:space="preserve"> </w:t>
      </w:r>
      <w:r>
        <w:rPr>
          <w:b/>
          <w:bCs/>
        </w:rPr>
        <w:t xml:space="preserve">conveniencia, adecuación y eficacia</w:t>
      </w:r>
      <w:r>
        <w:t xml:space="preserve"> </w:t>
      </w:r>
      <w:r>
        <w:t xml:space="preserve">continuas, conforme a la cláusula 9.3 de ISO/IEC 27001:2022.</w:t>
      </w:r>
    </w:p>
    <w:bookmarkEnd w:id="21"/>
    <w:bookmarkStart w:id="22" w:name="alcance-y-frecuencia"/>
    <w:p>
      <w:pPr>
        <w:pStyle w:val="Heading2"/>
      </w:pPr>
      <w:r>
        <w:t xml:space="preserve">3. Alcance y frecuencia</w:t>
      </w:r>
    </w:p>
    <w:p>
      <w:pPr>
        <w:pStyle w:val="FirstParagraph"/>
      </w:pPr>
      <w:r>
        <w:t xml:space="preserve">Aplica a todo el SGSI. La revisión se realiza</w:t>
      </w:r>
      <w:r>
        <w:t xml:space="preserve"> </w:t>
      </w:r>
      <w:r>
        <w:rPr>
          <w:b/>
          <w:bCs/>
        </w:rPr>
        <w:t xml:space="preserve">al menos una vez al año</w:t>
      </w:r>
      <w:r>
        <w:t xml:space="preserve"> </w:t>
      </w:r>
      <w:r>
        <w:t xml:space="preserve">y de forma extraordinaria ante cambios significativos (incidentes mayores, cambios regulatorios, cambios de alcance u organizacionales). La convoca el CISO y la preside la Gerencia General, con participación del Comité SGSI.</w:t>
      </w:r>
    </w:p>
    <w:bookmarkEnd w:id="22"/>
    <w:bookmarkStart w:id="23" w:name="entradas-de-la-revisión-cl.-9.3.2"/>
    <w:p>
      <w:pPr>
        <w:pStyle w:val="Heading2"/>
      </w:pPr>
      <w:r>
        <w:t xml:space="preserve">4. Entradas de la revisión (cl. 9.3.2)</w:t>
      </w:r>
    </w:p>
    <w:p>
      <w:pPr>
        <w:pStyle w:val="Compact"/>
        <w:numPr>
          <w:ilvl w:val="0"/>
          <w:numId w:val="1001"/>
        </w:numPr>
      </w:pPr>
      <w:r>
        <w:t xml:space="preserve">Estado de las acciones de</w:t>
      </w:r>
      <w:r>
        <w:t xml:space="preserve"> </w:t>
      </w:r>
      <w:r>
        <w:rPr>
          <w:b/>
          <w:bCs/>
        </w:rPr>
        <w:t xml:space="preserve">revisiones por la dirección previas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Cambios en las</w:t>
      </w:r>
      <w:r>
        <w:t xml:space="preserve"> </w:t>
      </w:r>
      <w:r>
        <w:rPr>
          <w:b/>
          <w:bCs/>
        </w:rPr>
        <w:t xml:space="preserve">cuestiones internas y externas</w:t>
      </w:r>
      <w:r>
        <w:t xml:space="preserve"> </w:t>
      </w:r>
      <w:r>
        <w:t xml:space="preserve">pertinentes al SGSI (contexto, cl. 4.1/4.2).</w:t>
      </w:r>
    </w:p>
    <w:p>
      <w:pPr>
        <w:pStyle w:val="Compact"/>
        <w:numPr>
          <w:ilvl w:val="0"/>
          <w:numId w:val="1001"/>
        </w:numPr>
      </w:pPr>
      <w:r>
        <w:t xml:space="preserve">Cambios en las</w:t>
      </w:r>
      <w:r>
        <w:t xml:space="preserve"> </w:t>
      </w:r>
      <w:r>
        <w:rPr>
          <w:b/>
          <w:bCs/>
        </w:rPr>
        <w:t xml:space="preserve">necesidades y expectativas</w:t>
      </w:r>
      <w:r>
        <w:t xml:space="preserve"> </w:t>
      </w:r>
      <w:r>
        <w:t xml:space="preserve">de las partes interesadas (clientes, ANCI, marcas de tarjetas).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Retroalimentación sobre el desempeño</w:t>
      </w:r>
      <w:r>
        <w:t xml:space="preserve"> </w:t>
      </w:r>
      <w:r>
        <w:t xml:space="preserve">de la seguridad de la información:</w:t>
      </w:r>
    </w:p>
    <w:p>
      <w:pPr>
        <w:pStyle w:val="Compact"/>
        <w:numPr>
          <w:ilvl w:val="1"/>
          <w:numId w:val="1002"/>
        </w:numPr>
      </w:pPr>
      <w:r>
        <w:t xml:space="preserve">No conformidades y acciones correctivas (GOB-SGSI-07).</w:t>
      </w:r>
    </w:p>
    <w:p>
      <w:pPr>
        <w:pStyle w:val="Compact"/>
        <w:numPr>
          <w:ilvl w:val="1"/>
          <w:numId w:val="1002"/>
        </w:numPr>
      </w:pPr>
      <w:r>
        <w:t xml:space="preserve">Resultados de</w:t>
      </w:r>
      <w:r>
        <w:t xml:space="preserve"> </w:t>
      </w:r>
      <w:r>
        <w:rPr>
          <w:b/>
          <w:bCs/>
        </w:rPr>
        <w:t xml:space="preserve">monitoreo y medición</w:t>
      </w:r>
      <w:r>
        <w:t xml:space="preserve"> </w:t>
      </w:r>
      <w:r>
        <w:t xml:space="preserve">(KPIs — GOB-SGSI-09).</w:t>
      </w:r>
    </w:p>
    <w:p>
      <w:pPr>
        <w:pStyle w:val="Compact"/>
        <w:numPr>
          <w:ilvl w:val="1"/>
          <w:numId w:val="1002"/>
        </w:numPr>
      </w:pPr>
      <w:r>
        <w:t xml:space="preserve">Resultados de</w:t>
      </w:r>
      <w:r>
        <w:t xml:space="preserve"> </w:t>
      </w:r>
      <w:r>
        <w:rPr>
          <w:b/>
          <w:bCs/>
        </w:rPr>
        <w:t xml:space="preserve">auditoría interna</w:t>
      </w:r>
      <w:r>
        <w:t xml:space="preserve"> </w:t>
      </w:r>
      <w:r>
        <w:t xml:space="preserve">(GOB-SGSI-05).</w:t>
      </w:r>
    </w:p>
    <w:p>
      <w:pPr>
        <w:pStyle w:val="Compact"/>
        <w:numPr>
          <w:ilvl w:val="1"/>
          <w:numId w:val="1002"/>
        </w:numPr>
      </w:pPr>
      <w:r>
        <w:t xml:space="preserve">Cumplimiento de los</w:t>
      </w:r>
      <w:r>
        <w:t xml:space="preserve"> </w:t>
      </w:r>
      <w:r>
        <w:rPr>
          <w:b/>
          <w:bCs/>
        </w:rPr>
        <w:t xml:space="preserve">objetivos de seguridad</w:t>
      </w:r>
      <w:r>
        <w:t xml:space="preserve"> </w:t>
      </w:r>
      <w:r>
        <w:t xml:space="preserve">(GOB-SGSI-09).</w:t>
      </w:r>
    </w:p>
    <w:p>
      <w:pPr>
        <w:pStyle w:val="Compact"/>
        <w:numPr>
          <w:ilvl w:val="0"/>
          <w:numId w:val="1001"/>
        </w:numPr>
      </w:pPr>
      <w:r>
        <w:t xml:space="preserve">Retroalimentación de las</w:t>
      </w:r>
      <w:r>
        <w:t xml:space="preserve"> </w:t>
      </w:r>
      <w:r>
        <w:rPr>
          <w:b/>
          <w:bCs/>
        </w:rPr>
        <w:t xml:space="preserve">partes interesadas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Resultados de la</w:t>
      </w:r>
      <w:r>
        <w:t xml:space="preserve"> </w:t>
      </w:r>
      <w:r>
        <w:rPr>
          <w:b/>
          <w:bCs/>
        </w:rPr>
        <w:t xml:space="preserve">evaluación de riesgos</w:t>
      </w:r>
      <w:r>
        <w:t xml:space="preserve"> </w:t>
      </w:r>
      <w:r>
        <w:t xml:space="preserve">y estado del</w:t>
      </w:r>
      <w:r>
        <w:t xml:space="preserve"> </w:t>
      </w:r>
      <w:r>
        <w:rPr>
          <w:b/>
          <w:bCs/>
        </w:rPr>
        <w:t xml:space="preserve">Plan de Tratamiento de Riesgos</w:t>
      </w:r>
      <w:r>
        <w:t xml:space="preserve"> </w:t>
      </w:r>
      <w:r>
        <w:t xml:space="preserve">(ANR-SGSI-02).</w:t>
      </w:r>
    </w:p>
    <w:p>
      <w:pPr>
        <w:pStyle w:val="Compact"/>
        <w:numPr>
          <w:ilvl w:val="0"/>
          <w:numId w:val="1001"/>
        </w:numPr>
      </w:pPr>
      <w:r>
        <w:t xml:space="preserve">Estado de</w:t>
      </w:r>
      <w:r>
        <w:t xml:space="preserve"> </w:t>
      </w:r>
      <w:r>
        <w:rPr>
          <w:b/>
          <w:bCs/>
        </w:rPr>
        <w:t xml:space="preserve">incidentes</w:t>
      </w:r>
      <w:r>
        <w:t xml:space="preserve"> </w:t>
      </w:r>
      <w:r>
        <w:t xml:space="preserve">relevantes y reportes a la ANCI (PROC-SGSI-05).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Oportunidades de mejora continua</w:t>
      </w:r>
      <w:r>
        <w:t xml:space="preserve">.</w:t>
      </w:r>
    </w:p>
    <w:bookmarkEnd w:id="23"/>
    <w:bookmarkStart w:id="24" w:name="salidas-de-la-revisión-cl.-9.3.3"/>
    <w:p>
      <w:pPr>
        <w:pStyle w:val="Heading2"/>
      </w:pPr>
      <w:r>
        <w:t xml:space="preserve">5. Salidas de la revisión (cl. 9.3.3)</w:t>
      </w:r>
    </w:p>
    <w:p>
      <w:pPr>
        <w:pStyle w:val="FirstParagraph"/>
      </w:pPr>
      <w:r>
        <w:t xml:space="preserve">Las decisiones y acciones documentadas incluyen:</w:t>
      </w:r>
    </w:p>
    <w:p>
      <w:pPr>
        <w:pStyle w:val="Compact"/>
        <w:numPr>
          <w:ilvl w:val="0"/>
          <w:numId w:val="1003"/>
        </w:numPr>
      </w:pPr>
      <w:r>
        <w:t xml:space="preserve">Oportunidades de</w:t>
      </w:r>
      <w:r>
        <w:t xml:space="preserve"> </w:t>
      </w:r>
      <w:r>
        <w:rPr>
          <w:b/>
          <w:bCs/>
        </w:rPr>
        <w:t xml:space="preserve">mejora continua</w:t>
      </w:r>
      <w:r>
        <w:t xml:space="preserve"> </w:t>
      </w:r>
      <w:r>
        <w:t xml:space="preserve">del SGSI.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Necesidades de cambio</w:t>
      </w:r>
      <w:r>
        <w:t xml:space="preserve"> </w:t>
      </w:r>
      <w:r>
        <w:t xml:space="preserve">en el SGSI (políticas, procedimientos, alcance, riesgos).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Necesidades de recursos</w:t>
      </w:r>
      <w:r>
        <w:t xml:space="preserve"> </w:t>
      </w:r>
      <w:r>
        <w:t xml:space="preserve">(presupuesto, personal, herramientas).</w:t>
      </w:r>
    </w:p>
    <w:p>
      <w:pPr>
        <w:pStyle w:val="Compact"/>
        <w:numPr>
          <w:ilvl w:val="0"/>
          <w:numId w:val="1003"/>
        </w:numPr>
      </w:pPr>
      <w:r>
        <w:t xml:space="preserve">Ajustes a los</w:t>
      </w:r>
      <w:r>
        <w:t xml:space="preserve"> </w:t>
      </w:r>
      <w:r>
        <w:rPr>
          <w:b/>
          <w:bCs/>
        </w:rPr>
        <w:t xml:space="preserve">objetivos de seguridad</w:t>
      </w:r>
      <w:r>
        <w:t xml:space="preserve"> </w:t>
      </w:r>
      <w:r>
        <w:t xml:space="preserve">y a la priorización de riesgos.</w:t>
      </w:r>
    </w:p>
    <w:bookmarkEnd w:id="24"/>
    <w:bookmarkStart w:id="25" w:name="etapas"/>
    <w:p>
      <w:pPr>
        <w:pStyle w:val="Heading2"/>
      </w:pPr>
      <w:r>
        <w:t xml:space="preserve">6. Etapas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Convocatoria y preparación</w:t>
      </w:r>
      <w:r>
        <w:t xml:space="preserve"> </w:t>
      </w:r>
      <w:r>
        <w:t xml:space="preserve">— el CISO recopila las entradas (sección 4) y elabora el informe de revisión.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Reunión de revisión</w:t>
      </w:r>
      <w:r>
        <w:t xml:space="preserve"> </w:t>
      </w:r>
      <w:r>
        <w:t xml:space="preserve">— la Gerencia General y el Comité SGSI analizan las entradas y toman decisiones.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Acta de revisión</w:t>
      </w:r>
      <w:r>
        <w:t xml:space="preserve"> </w:t>
      </w:r>
      <w:r>
        <w:t xml:space="preserve">— se registran decisiones, responsables y plazos.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Seguimiento</w:t>
      </w:r>
      <w:r>
        <w:t xml:space="preserve"> </w:t>
      </w:r>
      <w:r>
        <w:t xml:space="preserve">— las acciones se gestionan y se verifican en la siguiente revisión.</w:t>
      </w:r>
    </w:p>
    <w:bookmarkEnd w:id="25"/>
    <w:bookmarkStart w:id="26" w:name="roles-según-matriz-raci-gob-sgsi-04"/>
    <w:p>
      <w:pPr>
        <w:pStyle w:val="Heading2"/>
      </w:pPr>
      <w:r>
        <w:t xml:space="preserve">7. Roles (según Matriz RACI — GOB-SGSI-04)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Gerencia General</w:t>
      </w:r>
      <w:r>
        <w:t xml:space="preserve">: preside, decide y rinde cuentas (Accountable).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CISO</w:t>
      </w:r>
      <w:r>
        <w:t xml:space="preserve">: prepara las entradas, convoca y da seguimiento (Responsable).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Comité SGSI</w:t>
      </w:r>
      <w:r>
        <w:t xml:space="preserve">: participa y prioriza.</w:t>
      </w:r>
    </w:p>
    <w:bookmarkEnd w:id="26"/>
    <w:bookmarkStart w:id="27" w:name="registros-y-evidencias-cl.-7.5-9.3"/>
    <w:p>
      <w:pPr>
        <w:pStyle w:val="Heading2"/>
      </w:pPr>
      <w:r>
        <w:t xml:space="preserve">8. Registros y evidencias (cl. 7.5 / 9.3)</w:t>
      </w:r>
    </w:p>
    <w:p>
      <w:pPr>
        <w:pStyle w:val="FirstParagraph"/>
      </w:pPr>
      <w:r>
        <w:t xml:space="preserve">El informe de entradas y el</w:t>
      </w:r>
      <w:r>
        <w:t xml:space="preserve"> </w:t>
      </w:r>
      <w:r>
        <w:rPr>
          <w:b/>
          <w:bCs/>
        </w:rPr>
        <w:t xml:space="preserve">acta de la revisión por la dirección</w:t>
      </w:r>
      <w:r>
        <w:t xml:space="preserve"> </w:t>
      </w:r>
      <w:r>
        <w:t xml:space="preserve">se archivan como información documentada en</w:t>
      </w:r>
      <w:r>
        <w:t xml:space="preserve"> </w:t>
      </w:r>
      <w:r>
        <w:rPr>
          <w:rStyle w:val="VerbatimChar"/>
        </w:rPr>
        <w:t xml:space="preserve">03-evidencias/</w:t>
      </w:r>
      <w:r>
        <w:t xml:space="preserve">.</w:t>
      </w:r>
    </w:p>
    <w:bookmarkEnd w:id="27"/>
    <w:bookmarkStart w:id="28" w:name="documentos-relacionados"/>
    <w:p>
      <w:pPr>
        <w:pStyle w:val="Heading2"/>
      </w:pPr>
      <w:r>
        <w:t xml:space="preserve">9. Documentos relacionados</w:t>
      </w:r>
    </w:p>
    <w:p>
      <w:pPr>
        <w:pStyle w:val="Compact"/>
        <w:numPr>
          <w:ilvl w:val="0"/>
          <w:numId w:val="1006"/>
        </w:numPr>
      </w:pPr>
      <w:r>
        <w:t xml:space="preserve">Auditoría Interna (GOB-SGSI-05) · No Conformidades (GOB-SGSI-07) · Objetivos de Seguridad (GOB-SGSI-09)</w:t>
      </w:r>
    </w:p>
    <w:p>
      <w:pPr>
        <w:pStyle w:val="Compact"/>
        <w:numPr>
          <w:ilvl w:val="0"/>
          <w:numId w:val="1006"/>
        </w:numPr>
      </w:pPr>
      <w:r>
        <w:t xml:space="preserve">Plan de Tratamiento de Riesgos (ANR-SGSI-02) · Política General de Seguridad (GOB-SGSI-02)</w:t>
      </w:r>
    </w:p>
    <w:bookmarkEnd w:id="28"/>
    <w:bookmarkStart w:id="29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 (cierra la brecha G-5 del Gap Analysis).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2026-06-18T01:26:56Z</dcterms:created>
  <dcterms:modified xsi:type="dcterms:W3CDTF">2026-06-18T01:26:56Z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