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8"/>
        </w:rPr>
        <w:t>POLÍTICAS DE SEGURIDAD DEL SISTEMA DE GESTIÓN DE SEGURIDAD DE LA INFORMACIÓN</w:t>
      </w:r>
    </w:p>
    <w:p>
      <w:pPr>
        <w:jc w:val="center"/>
      </w:pPr>
      <w:r>
        <w:rPr>
          <w:b/>
          <w:sz w:val="26"/>
        </w:rPr>
        <w:t>NovaRetail SpA</w:t>
      </w:r>
    </w:p>
    <w:p/>
    <w:tbl>
      <w:tblPr>
        <w:tblStyle w:val="TableGrid"/>
        <w:tblW w:type="auto" w:w="0"/>
        <w:tblLook w:firstColumn="1" w:firstRow="1" w:lastColumn="0" w:lastRow="0" w:noHBand="0" w:noVBand="1" w:val="04A0"/>
      </w:tblPr>
      <w:tblGrid>
        <w:gridCol w:w="3402"/>
        <w:gridCol w:w="5669"/>
      </w:tblGrid>
      <w:tr>
        <w:tc>
          <w:tcPr>
            <w:tcW w:type="dxa" w:w="3402"/>
            <w:shd w:val="clear" w:color="auto" w:fill="BDD7EE"/>
          </w:tcPr>
          <w:p>
            <w:r>
              <w:rPr>
                <w:b/>
                <w:sz w:val="20"/>
              </w:rPr>
              <w:t>Actividad práctica</w:t>
            </w:r>
          </w:p>
        </w:tc>
        <w:tc>
          <w:tcPr>
            <w:tcW w:type="dxa" w:w="5669"/>
          </w:tcPr>
          <w:p>
            <w:r>
              <w:rPr>
                <w:sz w:val="20"/>
              </w:rPr>
              <w:t>Gobernanza e Implementación de un SGSI</w:t>
            </w:r>
          </w:p>
        </w:tc>
      </w:tr>
      <w:tr>
        <w:tc>
          <w:tcPr>
            <w:tcW w:type="dxa" w:w="3402"/>
            <w:shd w:val="clear" w:color="auto" w:fill="BDD7EE"/>
          </w:tcPr>
          <w:p>
            <w:r>
              <w:rPr>
                <w:b/>
                <w:sz w:val="20"/>
              </w:rPr>
              <w:t>Asignatura</w:t>
            </w:r>
          </w:p>
        </w:tc>
        <w:tc>
          <w:tcPr>
            <w:tcW w:type="dxa" w:w="5669"/>
          </w:tcPr>
          <w:p>
            <w:r>
              <w:rPr>
                <w:sz w:val="20"/>
              </w:rPr>
              <w:t>Gestión de la Ciberseguridad</w:t>
            </w:r>
          </w:p>
        </w:tc>
      </w:tr>
      <w:tr>
        <w:tc>
          <w:tcPr>
            <w:tcW w:type="dxa" w:w="3402"/>
            <w:shd w:val="clear" w:color="auto" w:fill="BDD7EE"/>
          </w:tcPr>
          <w:p>
            <w:r>
              <w:rPr>
                <w:b/>
                <w:sz w:val="20"/>
              </w:rPr>
              <w:t>Integrantes del grupo</w:t>
            </w:r>
          </w:p>
        </w:tc>
        <w:tc>
          <w:tcPr>
            <w:tcW w:type="dxa" w:w="5669"/>
          </w:tcPr>
          <w:p>
            <w:r>
              <w:rPr>
                <w:sz w:val="20"/>
              </w:rPr>
              <w:t>Sergio Cubelli</w:t>
              <w:br/>
              <w:t>Savka Carvajal</w:t>
              <w:br/>
              <w:t>Joaquín Zambra</w:t>
              <w:br/>
              <w:t>Alejandro Tapia</w:t>
              <w:br/>
              <w:t>Filippo Moreno</w:t>
            </w:r>
          </w:p>
        </w:tc>
      </w:tr>
      <w:tr>
        <w:tc>
          <w:tcPr>
            <w:tcW w:type="dxa" w:w="3402"/>
            <w:shd w:val="clear" w:color="auto" w:fill="BDD7EE"/>
          </w:tcPr>
          <w:p>
            <w:r>
              <w:rPr>
                <w:b/>
                <w:sz w:val="20"/>
              </w:rPr>
              <w:t>Código del conjunto</w:t>
            </w:r>
          </w:p>
        </w:tc>
        <w:tc>
          <w:tcPr>
            <w:tcW w:type="dxa" w:w="5669"/>
          </w:tcPr>
          <w:p>
            <w:r>
              <w:rPr>
                <w:sz w:val="20"/>
              </w:rPr>
              <w:t>POL-SGSI-01 a POL-SGSI-15</w:t>
            </w:r>
          </w:p>
        </w:tc>
      </w:tr>
      <w:tr>
        <w:tc>
          <w:tcPr>
            <w:tcW w:type="dxa" w:w="3402"/>
            <w:shd w:val="clear" w:color="auto" w:fill="BDD7EE"/>
          </w:tcPr>
          <w:p>
            <w:r>
              <w:rPr>
                <w:b/>
                <w:sz w:val="20"/>
              </w:rPr>
              <w:t>Fecha de emisión</w:t>
            </w:r>
          </w:p>
        </w:tc>
        <w:tc>
          <w:tcPr>
            <w:tcW w:type="dxa" w:w="5669"/>
          </w:tcPr>
          <w:p>
            <w:r>
              <w:rPr>
                <w:sz w:val="20"/>
              </w:rPr>
              <w:t>22-04-2026</w:t>
            </w:r>
          </w:p>
        </w:tc>
      </w:tr>
      <w:tr>
        <w:tc>
          <w:tcPr>
            <w:tcW w:type="dxa" w:w="3402"/>
            <w:shd w:val="clear" w:color="auto" w:fill="BDD7EE"/>
          </w:tcPr>
          <w:p>
            <w:r>
              <w:rPr>
                <w:b/>
                <w:sz w:val="20"/>
              </w:rPr>
              <w:t>Versión</w:t>
            </w:r>
          </w:p>
        </w:tc>
        <w:tc>
          <w:tcPr>
            <w:tcW w:type="dxa" w:w="5669"/>
          </w:tcPr>
          <w:p>
            <w:r>
              <w:rPr>
                <w:sz w:val="20"/>
              </w:rPr>
              <w:t>1.0</w:t>
            </w:r>
          </w:p>
        </w:tc>
      </w:tr>
      <w:tr>
        <w:tc>
          <w:tcPr>
            <w:tcW w:type="dxa" w:w="3402"/>
            <w:shd w:val="clear" w:color="auto" w:fill="BDD7EE"/>
          </w:tcPr>
          <w:p>
            <w:r>
              <w:rPr>
                <w:b/>
                <w:sz w:val="20"/>
              </w:rPr>
              <w:t>Estado</w:t>
            </w:r>
          </w:p>
        </w:tc>
        <w:tc>
          <w:tcPr>
            <w:tcW w:type="dxa" w:w="5669"/>
          </w:tcPr>
          <w:p>
            <w:r>
              <w:rPr>
                <w:sz w:val="20"/>
              </w:rPr>
              <w:t>Aprobado</w:t>
            </w:r>
          </w:p>
        </w:tc>
      </w:tr>
      <w:tr>
        <w:tc>
          <w:tcPr>
            <w:tcW w:type="dxa" w:w="3402"/>
            <w:shd w:val="clear" w:color="auto" w:fill="BDD7EE"/>
          </w:tcPr>
          <w:p>
            <w:r>
              <w:rPr>
                <w:b/>
                <w:sz w:val="20"/>
              </w:rPr>
              <w:t>Clasificación</w:t>
            </w:r>
          </w:p>
        </w:tc>
        <w:tc>
          <w:tcPr>
            <w:tcW w:type="dxa" w:w="5669"/>
          </w:tcPr>
          <w:p>
            <w:r>
              <w:rPr>
                <w:sz w:val="20"/>
              </w:rPr>
              <w:t>Interno</w:t>
            </w:r>
          </w:p>
        </w:tc>
      </w:tr>
    </w:tbl>
    <w:p>
      <w:r>
        <w:br w:type="page"/>
      </w:r>
    </w:p>
    <w:p>
      <w:pPr>
        <w:jc w:val="center"/>
      </w:pPr>
      <w:r>
        <w:rPr>
          <w:b/>
          <w:color w:val="1F3864"/>
          <w:sz w:val="28"/>
        </w:rPr>
        <w:t>POL-SGSI-11 — Política de gestión de incidentes de seguridad y reporte ANCI</w:t>
      </w:r>
    </w:p>
    <w:p>
      <w:pPr>
        <w:jc w:val="center"/>
      </w:pPr>
      <w:r>
        <w:rPr>
          <w:i/>
          <w:sz w:val="22"/>
        </w:rPr>
        <w:t>Política de seguridad del SGSI de NovaRetail SpA.</w:t>
      </w:r>
    </w:p>
    <w:p/>
    <w:p>
      <w:pPr>
        <w:spacing w:before="200" w:after="80"/>
      </w:pPr>
      <w:r>
        <w:rPr>
          <w:b/>
          <w:color w:val="1F3864"/>
          <w:sz w:val="26"/>
        </w:rPr>
        <w:t>1. Control documental</w:t>
      </w:r>
    </w:p>
    <w:tbl>
      <w:tblPr>
        <w:tblStyle w:val="TableGrid"/>
        <w:tblW w:type="auto" w:w="0"/>
        <w:tblLook w:firstColumn="1" w:firstRow="1" w:lastColumn="0" w:lastRow="0" w:noHBand="0" w:noVBand="1" w:val="04A0"/>
      </w:tblPr>
      <w:tblGrid>
        <w:gridCol w:w="4561"/>
        <w:gridCol w:w="4561"/>
      </w:tblGrid>
      <w:tr>
        <w:tc>
          <w:tcPr>
            <w:tcW w:type="dxa" w:w="4561"/>
            <w:shd w:val="clear" w:color="auto" w:fill="BDD7EE"/>
          </w:tcPr>
          <w:p>
            <w:r>
              <w:rPr>
                <w:b/>
                <w:sz w:val="20"/>
              </w:rPr>
              <w:t>Código</w:t>
            </w:r>
          </w:p>
        </w:tc>
        <w:tc>
          <w:tcPr>
            <w:tcW w:type="dxa" w:w="4561"/>
          </w:tcPr>
          <w:p>
            <w:r>
              <w:rPr>
                <w:sz w:val="20"/>
              </w:rPr>
              <w:t>POL-SGSI-11</w:t>
            </w:r>
          </w:p>
        </w:tc>
      </w:tr>
      <w:tr>
        <w:tc>
          <w:tcPr>
            <w:tcW w:type="dxa" w:w="4561"/>
            <w:shd w:val="clear" w:color="auto" w:fill="BDD7EE"/>
          </w:tcPr>
          <w:p>
            <w:r>
              <w:rPr>
                <w:b/>
                <w:sz w:val="20"/>
              </w:rPr>
              <w:t>Versión</w:t>
            </w:r>
          </w:p>
        </w:tc>
        <w:tc>
          <w:tcPr>
            <w:tcW w:type="dxa" w:w="4561"/>
          </w:tcPr>
          <w:p>
            <w:r>
              <w:rPr>
                <w:sz w:val="20"/>
              </w:rPr>
              <w:t>1.0</w:t>
            </w:r>
          </w:p>
        </w:tc>
      </w:tr>
      <w:tr>
        <w:tc>
          <w:tcPr>
            <w:tcW w:type="dxa" w:w="4561"/>
            <w:shd w:val="clear" w:color="auto" w:fill="BDD7EE"/>
          </w:tcPr>
          <w:p>
            <w:r>
              <w:rPr>
                <w:b/>
                <w:sz w:val="20"/>
              </w:rPr>
              <w:t>Fecha de emisión</w:t>
            </w:r>
          </w:p>
        </w:tc>
        <w:tc>
          <w:tcPr>
            <w:tcW w:type="dxa" w:w="4561"/>
          </w:tcPr>
          <w:p>
            <w:r>
              <w:rPr>
                <w:sz w:val="20"/>
              </w:rPr>
              <w:t>22-04-2026</w:t>
            </w:r>
          </w:p>
        </w:tc>
      </w:tr>
      <w:tr>
        <w:tc>
          <w:tcPr>
            <w:tcW w:type="dxa" w:w="4561"/>
            <w:shd w:val="clear" w:color="auto" w:fill="BDD7EE"/>
          </w:tcPr>
          <w:p>
            <w:r>
              <w:rPr>
                <w:b/>
                <w:sz w:val="20"/>
              </w:rPr>
              <w:t>Clasificación</w:t>
            </w:r>
          </w:p>
        </w:tc>
        <w:tc>
          <w:tcPr>
            <w:tcW w:type="dxa" w:w="4561"/>
          </w:tcPr>
          <w:p>
            <w:r>
              <w:rPr>
                <w:sz w:val="20"/>
              </w:rPr>
              <w:t>Interno</w:t>
            </w:r>
          </w:p>
        </w:tc>
      </w:tr>
      <w:tr>
        <w:tc>
          <w:tcPr>
            <w:tcW w:type="dxa" w:w="4561"/>
            <w:shd w:val="clear" w:color="auto" w:fill="BDD7EE"/>
          </w:tcPr>
          <w:p>
            <w:r>
              <w:rPr>
                <w:b/>
                <w:sz w:val="20"/>
              </w:rPr>
              <w:t>Elaborado por</w:t>
            </w:r>
          </w:p>
        </w:tc>
        <w:tc>
          <w:tcPr>
            <w:tcW w:type="dxa" w:w="4561"/>
          </w:tcPr>
          <w:p>
            <w:r>
              <w:rPr>
                <w:sz w:val="20"/>
              </w:rPr>
              <w:t>Equipo SGSI NovaRetail</w:t>
            </w:r>
          </w:p>
        </w:tc>
      </w:tr>
      <w:tr>
        <w:tc>
          <w:tcPr>
            <w:tcW w:type="dxa" w:w="4561"/>
            <w:shd w:val="clear" w:color="auto" w:fill="BDD7EE"/>
          </w:tcPr>
          <w:p>
            <w:r>
              <w:rPr>
                <w:b/>
                <w:sz w:val="20"/>
              </w:rPr>
              <w:t>Revisado por</w:t>
            </w:r>
          </w:p>
        </w:tc>
        <w:tc>
          <w:tcPr>
            <w:tcW w:type="dxa" w:w="4561"/>
          </w:tcPr>
          <w:p>
            <w:r>
              <w:rPr>
                <w:sz w:val="20"/>
              </w:rPr>
              <w:t>CISO</w:t>
            </w:r>
          </w:p>
        </w:tc>
      </w:tr>
      <w:tr>
        <w:tc>
          <w:tcPr>
            <w:tcW w:type="dxa" w:w="4561"/>
            <w:shd w:val="clear" w:color="auto" w:fill="BDD7EE"/>
          </w:tcPr>
          <w:p>
            <w:r>
              <w:rPr>
                <w:b/>
                <w:sz w:val="20"/>
              </w:rPr>
              <w:t>Aprobado por</w:t>
            </w:r>
          </w:p>
        </w:tc>
        <w:tc>
          <w:tcPr>
            <w:tcW w:type="dxa" w:w="4561"/>
          </w:tcPr>
          <w:p>
            <w:r>
              <w:rPr>
                <w:sz w:val="20"/>
              </w:rPr>
              <w:t>Gerencia General</w:t>
            </w:r>
          </w:p>
        </w:tc>
      </w:tr>
      <w:tr>
        <w:tc>
          <w:tcPr>
            <w:tcW w:type="dxa" w:w="4561"/>
            <w:shd w:val="clear" w:color="auto" w:fill="BDD7EE"/>
          </w:tcPr>
          <w:p>
            <w:r>
              <w:rPr>
                <w:b/>
                <w:sz w:val="20"/>
              </w:rPr>
              <w:t>Próxima revisión</w:t>
            </w:r>
          </w:p>
        </w:tc>
        <w:tc>
          <w:tcPr>
            <w:tcW w:type="dxa" w:w="4561"/>
          </w:tcPr>
          <w:p>
            <w:r>
              <w:rPr>
                <w:sz w:val="20"/>
              </w:rPr>
              <w:t>22-04-2027</w:t>
            </w:r>
          </w:p>
        </w:tc>
      </w:tr>
      <w:tr>
        <w:tc>
          <w:tcPr>
            <w:tcW w:type="dxa" w:w="4561"/>
            <w:shd w:val="clear" w:color="auto" w:fill="BDD7EE"/>
          </w:tcPr>
          <w:p>
            <w:r>
              <w:rPr>
                <w:b/>
                <w:sz w:val="20"/>
              </w:rPr>
              <w:t>Marco regulatorio</w:t>
            </w:r>
          </w:p>
        </w:tc>
        <w:tc>
          <w:tcPr>
            <w:tcW w:type="dxa" w:w="4561"/>
          </w:tcPr>
          <w:p>
            <w:r>
              <w:rPr>
                <w:sz w:val="20"/>
              </w:rPr>
              <w:t>Ley N° 21.663 — Ley Marco de Ciberseguridad (Chile, 2024)</w:t>
              <w:br/>
              <w:t>ISO/IEC 27001:2022, controles 5.24–5.28</w:t>
            </w:r>
          </w:p>
        </w:tc>
      </w:tr>
    </w:tbl>
    <w:p>
      <w:pPr>
        <w:spacing w:before="200" w:after="80"/>
      </w:pPr>
      <w:r>
        <w:rPr>
          <w:b/>
          <w:color w:val="1F3864"/>
          <w:sz w:val="26"/>
        </w:rPr>
        <w:t>2. Objetivo</w:t>
      </w:r>
    </w:p>
    <w:p>
      <w:pPr>
        <w:spacing w:after="40"/>
      </w:pPr>
      <w:r>
        <w:rPr>
          <w:sz w:val="22"/>
        </w:rPr>
        <w:t>Establecer el marco de detección, clasificación, respuesta, comunicación y reporte de incidentes de ciberseguridad de NovaRetail SpA, asegurando el cumplimiento de los plazos de notificación obligatoria a la Agencia Nacional de Ciberseguridad (ANCI) establecidos en la Ley N° 21.663, minimizando el impacto operacional y protegiendo la continuidad del negocio, la reputación de la organización y los derechos de los titulares de datos.</w:t>
      </w:r>
    </w:p>
    <w:p>
      <w:pPr>
        <w:spacing w:before="200" w:after="80"/>
      </w:pPr>
      <w:r>
        <w:rPr>
          <w:b/>
          <w:color w:val="1F3864"/>
          <w:sz w:val="26"/>
        </w:rPr>
        <w:t>3. Alcance</w:t>
      </w:r>
    </w:p>
    <w:p>
      <w:pPr>
        <w:spacing w:after="40"/>
      </w:pPr>
      <w:r>
        <w:rPr>
          <w:sz w:val="22"/>
        </w:rPr>
        <w:t>Aplica a todos los sistemas, activos de información, procesos y personas de NovaRetail SpA involucrados en la detección o gestión de incidentes de seguridad, incluyendo portal e-commerce, ERP, sistemas de pago (alcance PCI DSS), correo corporativo, infraestructura de red, datacenter central, bodega regional y servicios en la nube (M365/Workspace). Alcanza a empleados, contratistas y proveedores que operen o tengan acceso a los sistemas de NovaRetail. En virtud del art. 4 de la Ley N° 21.663, NovaRetail SpA puede ser calificada como Operador de Importancia Vital (OIV) dado su rol como operador de infraestructura digital de servicios esenciales de comercio y distribución.</w:t>
      </w:r>
    </w:p>
    <w:p>
      <w:pPr>
        <w:spacing w:before="200" w:after="80"/>
      </w:pPr>
      <w:r>
        <w:rPr>
          <w:b/>
          <w:color w:val="1F3864"/>
          <w:sz w:val="26"/>
        </w:rPr>
        <w:t>4. Roles y responsabilidades</w:t>
      </w:r>
    </w:p>
    <w:tbl>
      <w:tblPr>
        <w:tblStyle w:val="TableGrid"/>
        <w:tblW w:type="auto" w:w="0"/>
        <w:tblLook w:firstColumn="1" w:firstRow="1" w:lastColumn="0" w:lastRow="0" w:noHBand="0" w:noVBand="1" w:val="04A0"/>
      </w:tblPr>
      <w:tblGrid>
        <w:gridCol w:w="2835"/>
        <w:gridCol w:w="6236"/>
      </w:tblGrid>
      <w:tr>
        <w:tc>
          <w:tcPr>
            <w:tcW w:type="dxa" w:w="2835"/>
            <w:shd w:val="clear" w:color="auto" w:fill="BDD7EE"/>
          </w:tcPr>
          <w:p>
            <w:r>
              <w:rPr>
                <w:b/>
                <w:sz w:val="20"/>
              </w:rPr>
              <w:t>CISO</w:t>
            </w:r>
          </w:p>
        </w:tc>
        <w:tc>
          <w:tcPr>
            <w:tcW w:type="dxa" w:w="6236"/>
          </w:tcPr>
          <w:p>
            <w:r>
              <w:rPr>
                <w:sz w:val="20"/>
              </w:rPr>
              <w:t>Máximo responsable de la gestión de incidentes. Activa el equipo de respuesta, toma decisiones de escalada, autoriza la notificación a ANCI y firma los reportes formales.</w:t>
            </w:r>
          </w:p>
        </w:tc>
      </w:tr>
      <w:tr>
        <w:tc>
          <w:tcPr>
            <w:tcW w:type="dxa" w:w="2835"/>
            <w:shd w:val="clear" w:color="auto" w:fill="BDD7EE"/>
          </w:tcPr>
          <w:p>
            <w:r>
              <w:rPr>
                <w:b/>
                <w:sz w:val="20"/>
              </w:rPr>
              <w:t>Equipo de Respuesta a Incidentes (ERI)</w:t>
            </w:r>
          </w:p>
        </w:tc>
        <w:tc>
          <w:tcPr>
            <w:tcW w:type="dxa" w:w="6236"/>
          </w:tcPr>
          <w:p>
            <w:r>
              <w:rPr>
                <w:sz w:val="20"/>
              </w:rPr>
              <w:t>Analistas de seguridad TI que ejecutan la contención, erradicación y recuperación. Recopilan evidencia forense. Dependen del CISO durante la gestión del incidente.</w:t>
            </w:r>
          </w:p>
        </w:tc>
      </w:tr>
      <w:tr>
        <w:tc>
          <w:tcPr>
            <w:tcW w:type="dxa" w:w="2835"/>
            <w:shd w:val="clear" w:color="auto" w:fill="BDD7EE"/>
          </w:tcPr>
          <w:p>
            <w:r>
              <w:rPr>
                <w:b/>
                <w:sz w:val="20"/>
              </w:rPr>
              <w:t>Gerencia TI</w:t>
            </w:r>
          </w:p>
        </w:tc>
        <w:tc>
          <w:tcPr>
            <w:tcW w:type="dxa" w:w="6236"/>
          </w:tcPr>
          <w:p>
            <w:r>
              <w:rPr>
                <w:sz w:val="20"/>
              </w:rPr>
              <w:t>Coordina los recursos técnicos necesarios para la respuesta, mantiene disponibles las herramientas de análisis y apoya la restauración de servicios.</w:t>
            </w:r>
          </w:p>
        </w:tc>
      </w:tr>
      <w:tr>
        <w:tc>
          <w:tcPr>
            <w:tcW w:type="dxa" w:w="2835"/>
            <w:shd w:val="clear" w:color="auto" w:fill="BDD7EE"/>
          </w:tcPr>
          <w:p>
            <w:r>
              <w:rPr>
                <w:b/>
                <w:sz w:val="20"/>
              </w:rPr>
              <w:t>Gerencia General</w:t>
            </w:r>
          </w:p>
        </w:tc>
        <w:tc>
          <w:tcPr>
            <w:tcW w:type="dxa" w:w="6236"/>
          </w:tcPr>
          <w:p>
            <w:r>
              <w:rPr>
                <w:sz w:val="20"/>
              </w:rPr>
              <w:t>Es informada de incidentes críticos (Nivel 3) y de cualquier notificación a ANCI. Aprueba comunicados a clientes o prensa si corresponde.</w:t>
            </w:r>
          </w:p>
        </w:tc>
      </w:tr>
      <w:tr>
        <w:tc>
          <w:tcPr>
            <w:tcW w:type="dxa" w:w="2835"/>
            <w:shd w:val="clear" w:color="auto" w:fill="BDD7EE"/>
          </w:tcPr>
          <w:p>
            <w:r>
              <w:rPr>
                <w:b/>
                <w:sz w:val="20"/>
              </w:rPr>
              <w:t>Recursos Humanos / Legal</w:t>
            </w:r>
          </w:p>
        </w:tc>
        <w:tc>
          <w:tcPr>
            <w:tcW w:type="dxa" w:w="6236"/>
          </w:tcPr>
          <w:p>
            <w:r>
              <w:rPr>
                <w:sz w:val="20"/>
              </w:rPr>
              <w:t>Participan cuando el incidente involucra datos personales (Ley N° 19.628), empleados o acciones disciplinarias.</w:t>
            </w:r>
          </w:p>
        </w:tc>
      </w:tr>
      <w:tr>
        <w:tc>
          <w:tcPr>
            <w:tcW w:type="dxa" w:w="2835"/>
            <w:shd w:val="clear" w:color="auto" w:fill="BDD7EE"/>
          </w:tcPr>
          <w:p>
            <w:r>
              <w:rPr>
                <w:b/>
                <w:sz w:val="20"/>
              </w:rPr>
              <w:t>Todos los usuarios</w:t>
            </w:r>
          </w:p>
        </w:tc>
        <w:tc>
          <w:tcPr>
            <w:tcW w:type="dxa" w:w="6236"/>
          </w:tcPr>
          <w:p>
            <w:r>
              <w:rPr>
                <w:sz w:val="20"/>
              </w:rPr>
              <w:t>Tienen la obligación de reportar cualquier evento sospechoso al CISO o al ERI de forma inmediata, sin intentar resolverlo por cuenta propia.</w:t>
            </w:r>
          </w:p>
        </w:tc>
      </w:tr>
    </w:tbl>
    <w:p>
      <w:pPr>
        <w:spacing w:before="200" w:after="80"/>
      </w:pPr>
      <w:r>
        <w:rPr>
          <w:b/>
          <w:color w:val="1F3864"/>
          <w:sz w:val="26"/>
        </w:rPr>
        <w:t>5. Lineamientos de la política</w:t>
      </w:r>
    </w:p>
    <w:p>
      <w:pPr>
        <w:spacing w:before="160"/>
      </w:pPr>
      <w:r>
        <w:rPr>
          <w:b/>
          <w:sz w:val="22"/>
        </w:rPr>
        <w:t>5.1 Clasificación de incidentes</w:t>
      </w:r>
    </w:p>
    <w:p>
      <w:pPr>
        <w:spacing w:after="40"/>
      </w:pPr>
      <w:r>
        <w:rPr>
          <w:sz w:val="22"/>
        </w:rPr>
        <w:t>Los incidentes se clasifican en tres niveles según su impacto potencial:</w:t>
      </w:r>
    </w:p>
    <w:p/>
    <w:tbl>
      <w:tblPr>
        <w:tblStyle w:val="TableGrid"/>
        <w:tblW w:type="auto" w:w="0"/>
        <w:tblLook w:firstColumn="1" w:firstRow="1" w:lastColumn="0" w:lastRow="0" w:noHBand="0" w:noVBand="1" w:val="04A0"/>
      </w:tblPr>
      <w:tblGrid>
        <w:gridCol w:w="1134"/>
        <w:gridCol w:w="1984"/>
        <w:gridCol w:w="3402"/>
        <w:gridCol w:w="2551"/>
      </w:tblGrid>
      <w:tr>
        <w:tc>
          <w:tcPr>
            <w:tcW w:type="dxa" w:w="1134"/>
            <w:shd w:val="clear" w:color="auto" w:fill="1F3864"/>
          </w:tcPr>
          <w:p>
            <w:r>
              <w:rPr>
                <w:b/>
                <w:color w:val="FFFFFF"/>
                <w:sz w:val="20"/>
              </w:rPr>
              <w:t>Nivel</w:t>
            </w:r>
          </w:p>
        </w:tc>
        <w:tc>
          <w:tcPr>
            <w:tcW w:type="dxa" w:w="1984"/>
            <w:shd w:val="clear" w:color="auto" w:fill="1F3864"/>
          </w:tcPr>
          <w:p>
            <w:r>
              <w:rPr>
                <w:b/>
                <w:color w:val="FFFFFF"/>
                <w:sz w:val="20"/>
              </w:rPr>
              <w:t>Clasificación</w:t>
            </w:r>
          </w:p>
        </w:tc>
        <w:tc>
          <w:tcPr>
            <w:tcW w:type="dxa" w:w="3402"/>
            <w:shd w:val="clear" w:color="auto" w:fill="1F3864"/>
          </w:tcPr>
          <w:p>
            <w:r>
              <w:rPr>
                <w:b/>
                <w:color w:val="FFFFFF"/>
                <w:sz w:val="20"/>
              </w:rPr>
              <w:t>Criterios</w:t>
            </w:r>
          </w:p>
        </w:tc>
        <w:tc>
          <w:tcPr>
            <w:tcW w:type="dxa" w:w="2551"/>
            <w:shd w:val="clear" w:color="auto" w:fill="1F3864"/>
          </w:tcPr>
          <w:p>
            <w:r>
              <w:rPr>
                <w:b/>
                <w:color w:val="FFFFFF"/>
                <w:sz w:val="20"/>
              </w:rPr>
              <w:t>Tiempo máx. de respuesta inicial</w:t>
            </w:r>
          </w:p>
        </w:tc>
      </w:tr>
      <w:tr>
        <w:tc>
          <w:tcPr>
            <w:tcW w:type="dxa" w:w="1134"/>
          </w:tcPr>
          <w:p>
            <w:r>
              <w:rPr>
                <w:b/>
                <w:sz w:val="20"/>
              </w:rPr>
              <w:t>N1</w:t>
            </w:r>
          </w:p>
        </w:tc>
        <w:tc>
          <w:tcPr>
            <w:tcW w:type="dxa" w:w="1984"/>
          </w:tcPr>
          <w:p>
            <w:r>
              <w:rPr>
                <w:sz w:val="20"/>
              </w:rPr>
              <w:t>Bajo</w:t>
            </w:r>
          </w:p>
        </w:tc>
        <w:tc>
          <w:tcPr>
            <w:tcW w:type="dxa" w:w="3402"/>
          </w:tcPr>
          <w:p>
            <w:r>
              <w:rPr>
                <w:sz w:val="20"/>
              </w:rPr>
              <w:t>Eventos sin impacto operacional: spam avanzado, intentos de intrusión fallidos, malware aislado contenido.</w:t>
            </w:r>
          </w:p>
        </w:tc>
        <w:tc>
          <w:tcPr>
            <w:tcW w:type="dxa" w:w="2551"/>
          </w:tcPr>
          <w:p>
            <w:r>
              <w:rPr>
                <w:sz w:val="20"/>
              </w:rPr>
              <w:t>4 horas hábiles</w:t>
            </w:r>
          </w:p>
        </w:tc>
      </w:tr>
      <w:tr>
        <w:tc>
          <w:tcPr>
            <w:tcW w:type="dxa" w:w="1134"/>
          </w:tcPr>
          <w:p>
            <w:r>
              <w:rPr>
                <w:b/>
                <w:sz w:val="20"/>
              </w:rPr>
              <w:t>N2</w:t>
            </w:r>
          </w:p>
        </w:tc>
        <w:tc>
          <w:tcPr>
            <w:tcW w:type="dxa" w:w="1984"/>
          </w:tcPr>
          <w:p>
            <w:r>
              <w:rPr>
                <w:sz w:val="20"/>
              </w:rPr>
              <w:t>Medio</w:t>
            </w:r>
          </w:p>
        </w:tc>
        <w:tc>
          <w:tcPr>
            <w:tcW w:type="dxa" w:w="3402"/>
          </w:tcPr>
          <w:p>
            <w:r>
              <w:rPr>
                <w:sz w:val="20"/>
              </w:rPr>
              <w:t>Incidentes con impacto parcial: acceso no autorizado a sistema no crítico, fuga de datos interna limitada, ransomware contenido en un equipo.</w:t>
            </w:r>
          </w:p>
        </w:tc>
        <w:tc>
          <w:tcPr>
            <w:tcW w:type="dxa" w:w="2551"/>
          </w:tcPr>
          <w:p>
            <w:r>
              <w:rPr>
                <w:sz w:val="20"/>
              </w:rPr>
              <w:t>2 horas (24/7)</w:t>
            </w:r>
          </w:p>
        </w:tc>
      </w:tr>
      <w:tr>
        <w:tc>
          <w:tcPr>
            <w:tcW w:type="dxa" w:w="1134"/>
          </w:tcPr>
          <w:p>
            <w:r>
              <w:rPr>
                <w:b/>
                <w:sz w:val="20"/>
              </w:rPr>
              <w:t>N3</w:t>
            </w:r>
          </w:p>
        </w:tc>
        <w:tc>
          <w:tcPr>
            <w:tcW w:type="dxa" w:w="1984"/>
          </w:tcPr>
          <w:p>
            <w:r>
              <w:rPr>
                <w:sz w:val="20"/>
              </w:rPr>
              <w:t>Crítico</w:t>
            </w:r>
          </w:p>
        </w:tc>
        <w:tc>
          <w:tcPr>
            <w:tcW w:type="dxa" w:w="3402"/>
          </w:tcPr>
          <w:p>
            <w:r>
              <w:rPr>
                <w:sz w:val="20"/>
              </w:rPr>
              <w:t>Incidentes con impacto severo: afectación al portal e-commerce o ERP, fuga de datos de clientes, ransomware masivo, compromiso de cuentas privilegiadas, interrupción de la pasarela de pago, incidentes que activan obligación de reporte ANCI.</w:t>
            </w:r>
          </w:p>
        </w:tc>
        <w:tc>
          <w:tcPr>
            <w:tcW w:type="dxa" w:w="2551"/>
          </w:tcPr>
          <w:p>
            <w:r>
              <w:rPr>
                <w:sz w:val="20"/>
              </w:rPr>
              <w:t>30 minutos (24/7)</w:t>
            </w:r>
          </w:p>
        </w:tc>
      </w:tr>
    </w:tbl>
    <w:p>
      <w:pPr>
        <w:spacing w:before="160"/>
      </w:pPr>
      <w:r>
        <w:rPr>
          <w:b/>
          <w:sz w:val="22"/>
        </w:rPr>
        <w:t>5.2 Plazos de reporte a ANCI (Ley N° 21.663)</w:t>
      </w:r>
    </w:p>
    <w:p>
      <w:pPr>
        <w:spacing w:after="40"/>
      </w:pPr>
      <w:r>
        <w:rPr>
          <w:sz w:val="22"/>
        </w:rPr>
        <w:t>En conformidad con los artículos 23 y 24 de la Ley N° 21.663, NovaRetail SpA deberá notificar a la ANCI todo incidente de ciberseguridad de Nivel 3, o cualquier incidente que afecte la disponibilidad, integridad o confidencialidad de servicios esenciales, conforme a los siguientes plazos máximos, contados desde que el CISO toma conocimiento del incidente:</w:t>
      </w:r>
    </w:p>
    <w:p/>
    <w:tbl>
      <w:tblPr>
        <w:tblStyle w:val="TableGrid"/>
        <w:tblW w:type="auto" w:w="0"/>
        <w:tblLook w:firstColumn="1" w:firstRow="1" w:lastColumn="0" w:lastRow="0" w:noHBand="0" w:noVBand="1" w:val="04A0"/>
      </w:tblPr>
      <w:tblGrid>
        <w:gridCol w:w="2268"/>
        <w:gridCol w:w="2835"/>
        <w:gridCol w:w="3969"/>
      </w:tblGrid>
      <w:tr>
        <w:tc>
          <w:tcPr>
            <w:tcW w:type="dxa" w:w="2268"/>
            <w:shd w:val="clear" w:color="auto" w:fill="1F3864"/>
          </w:tcPr>
          <w:p>
            <w:r>
              <w:rPr>
                <w:b/>
                <w:color w:val="FFFFFF"/>
                <w:sz w:val="20"/>
              </w:rPr>
              <w:t>Tipo de reporte</w:t>
            </w:r>
          </w:p>
        </w:tc>
        <w:tc>
          <w:tcPr>
            <w:tcW w:type="dxa" w:w="2835"/>
            <w:shd w:val="clear" w:color="auto" w:fill="1F3864"/>
          </w:tcPr>
          <w:p>
            <w:r>
              <w:rPr>
                <w:b/>
                <w:color w:val="FFFFFF"/>
                <w:sz w:val="20"/>
              </w:rPr>
              <w:t>Plazo máximo</w:t>
            </w:r>
          </w:p>
        </w:tc>
        <w:tc>
          <w:tcPr>
            <w:tcW w:type="dxa" w:w="3969"/>
            <w:shd w:val="clear" w:color="auto" w:fill="1F3864"/>
          </w:tcPr>
          <w:p>
            <w:r>
              <w:rPr>
                <w:b/>
                <w:color w:val="FFFFFF"/>
                <w:sz w:val="20"/>
              </w:rPr>
              <w:t>Contenido mínimo</w:t>
            </w:r>
          </w:p>
        </w:tc>
      </w:tr>
      <w:tr>
        <w:tc>
          <w:tcPr>
            <w:tcW w:type="dxa" w:w="2268"/>
          </w:tcPr>
          <w:p>
            <w:r>
              <w:rPr>
                <w:b/>
                <w:sz w:val="20"/>
              </w:rPr>
              <w:t>Alerta temprana</w:t>
            </w:r>
          </w:p>
        </w:tc>
        <w:tc>
          <w:tcPr>
            <w:tcW w:type="dxa" w:w="2835"/>
          </w:tcPr>
          <w:p>
            <w:r>
              <w:rPr>
                <w:sz w:val="20"/>
              </w:rPr>
              <w:t>3 horas desde la detección</w:t>
            </w:r>
          </w:p>
        </w:tc>
        <w:tc>
          <w:tcPr>
            <w:tcW w:type="dxa" w:w="3969"/>
          </w:tcPr>
          <w:p>
            <w:r>
              <w:rPr>
                <w:sz w:val="20"/>
              </w:rPr>
              <w:t>Notificación de que se ha producido un incidente significativo. Puede ser preliminar y sin análisis completo. Se realiza a través del portal o canal habilitado por ANCI.</w:t>
            </w:r>
          </w:p>
        </w:tc>
      </w:tr>
      <w:tr>
        <w:tc>
          <w:tcPr>
            <w:tcW w:type="dxa" w:w="2268"/>
          </w:tcPr>
          <w:p>
            <w:r>
              <w:rPr>
                <w:b/>
                <w:sz w:val="20"/>
              </w:rPr>
              <w:t>Actualización (2.º reporte)</w:t>
            </w:r>
          </w:p>
        </w:tc>
        <w:tc>
          <w:tcPr>
            <w:tcW w:type="dxa" w:w="2835"/>
          </w:tcPr>
          <w:p>
            <w:r>
              <w:rPr>
                <w:sz w:val="20"/>
              </w:rPr>
              <w:t>72 horas desde la detección (24 horas si NovaRetail es OIV y se afecta un servicio esencial)</w:t>
            </w:r>
          </w:p>
        </w:tc>
        <w:tc>
          <w:tcPr>
            <w:tcW w:type="dxa" w:w="3969"/>
          </w:tcPr>
          <w:p>
            <w:r>
              <w:rPr>
                <w:sz w:val="20"/>
              </w:rPr>
              <w:t>Descripción del incidente, sistemas afectados, impacto estimado, acciones de contención adoptadas y punto de contacto responsable.</w:t>
            </w:r>
          </w:p>
        </w:tc>
      </w:tr>
      <w:tr>
        <w:tc>
          <w:tcPr>
            <w:tcW w:type="dxa" w:w="2268"/>
          </w:tcPr>
          <w:p>
            <w:r>
              <w:rPr>
                <w:b/>
                <w:sz w:val="20"/>
              </w:rPr>
              <w:t>Informe final</w:t>
            </w:r>
          </w:p>
        </w:tc>
        <w:tc>
          <w:tcPr>
            <w:tcW w:type="dxa" w:w="2835"/>
          </w:tcPr>
          <w:p>
            <w:r>
              <w:rPr>
                <w:sz w:val="20"/>
              </w:rPr>
              <w:t>15 días corridos desde la alerta temprana</w:t>
            </w:r>
          </w:p>
        </w:tc>
        <w:tc>
          <w:tcPr>
            <w:tcW w:type="dxa" w:w="3969"/>
          </w:tcPr>
          <w:p>
            <w:r>
              <w:rPr>
                <w:sz w:val="20"/>
              </w:rPr>
              <w:t>Análisis completo de causa raíz, cronología del incidente, datos comprometidos, medidas de erradicación y recuperación aplicadas, y plan de mejoras para prevenir recurrencia.</w:t>
            </w:r>
          </w:p>
        </w:tc>
      </w:tr>
      <w:tr>
        <w:tc>
          <w:tcPr>
            <w:tcW w:type="dxa" w:w="2268"/>
          </w:tcPr>
          <w:p>
            <w:r>
              <w:rPr>
                <w:b/>
                <w:sz w:val="20"/>
              </w:rPr>
              <w:t>Reporte de seguimiento</w:t>
            </w:r>
          </w:p>
        </w:tc>
        <w:tc>
          <w:tcPr>
            <w:tcW w:type="dxa" w:w="2835"/>
          </w:tcPr>
          <w:p>
            <w:r>
              <w:rPr>
                <w:sz w:val="20"/>
              </w:rPr>
              <w:t>Según instrucción de ANCI</w:t>
            </w:r>
          </w:p>
        </w:tc>
        <w:tc>
          <w:tcPr>
            <w:tcW w:type="dxa" w:w="3969"/>
          </w:tcPr>
          <w:p>
            <w:r>
              <w:rPr>
                <w:sz w:val="20"/>
              </w:rPr>
              <w:t>Actualizaciones posteriores si ANCI lo solicita o si surgen hallazgos nuevos durante el análisis forense.</w:t>
            </w:r>
          </w:p>
        </w:tc>
      </w:tr>
    </w:tbl>
    <w:p/>
    <w:p>
      <w:pPr>
        <w:spacing w:after="40"/>
      </w:pPr>
      <w:r>
        <w:rPr>
          <w:sz w:val="22"/>
        </w:rPr>
        <w:t>IMPORTANTE: El incumplimiento de estos plazos constituye una infracción a la Ley N° 21.663 y puede derivar en sanciones administrativas por parte de ANCI. El CISO es responsable personal de asegurar que los reportes se envíen dentro de los plazos establecidos, incluso si el análisis del incidente no está completado. Un reporte parcial y oportuno tiene precedencia sobre un reporte completo pero tardío.</w:t>
      </w:r>
    </w:p>
    <w:p>
      <w:pPr>
        <w:spacing w:before="160"/>
      </w:pPr>
      <w:r>
        <w:rPr>
          <w:b/>
          <w:sz w:val="22"/>
        </w:rPr>
        <w:t>5.3 Fases del proceso de respuesta a incidentes</w:t>
      </w:r>
    </w:p>
    <w:p>
      <w:pPr>
        <w:spacing w:before="120"/>
      </w:pPr>
      <w:r>
        <w:rPr>
          <w:b/>
          <w:color w:val="2E74B5"/>
          <w:sz w:val="22"/>
        </w:rPr>
        <w:t>Fase 1 — Detección y reporte</w:t>
      </w:r>
    </w:p>
    <w:p>
      <w:pPr>
        <w:spacing w:after="40"/>
      </w:pPr>
      <w:r>
        <w:rPr>
          <w:sz w:val="22"/>
        </w:rPr>
        <w:t>• Cualquier usuario que detecte un evento anómalo lo reporta de inmediato al CISO o ERI mediante el canal de reporte de incidentes habilitado (correo incidentes@novaretail.cl o llamada directa).</w:t>
      </w:r>
    </w:p>
    <w:p>
      <w:pPr>
        <w:spacing w:after="40"/>
      </w:pPr>
      <w:r>
        <w:rPr>
          <w:sz w:val="22"/>
        </w:rPr>
        <w:t>• El ERI realiza una triage inicial en un máximo de 30 minutos para determinar el nivel del incidente.</w:t>
      </w:r>
    </w:p>
    <w:p>
      <w:pPr>
        <w:spacing w:after="40"/>
      </w:pPr>
      <w:r>
        <w:rPr>
          <w:sz w:val="22"/>
        </w:rPr>
        <w:t>• Se crea el ticket de incidente en el sistema ITSM con timestamp de detección, reportante y descripción inicial.</w:t>
      </w:r>
    </w:p>
    <w:p>
      <w:pPr>
        <w:spacing w:before="120"/>
      </w:pPr>
      <w:r>
        <w:rPr>
          <w:b/>
          <w:color w:val="2E74B5"/>
          <w:sz w:val="22"/>
        </w:rPr>
        <w:t>Fase 2 — Contención</w:t>
      </w:r>
    </w:p>
    <w:p>
      <w:pPr>
        <w:spacing w:after="40"/>
      </w:pPr>
      <w:r>
        <w:rPr>
          <w:sz w:val="22"/>
        </w:rPr>
        <w:t>• Se aíslan los sistemas afectados para evitar la propagación (desconexión de red, bloqueo de cuentas comprometidas, segmentación de VLANs).</w:t>
      </w:r>
    </w:p>
    <w:p>
      <w:pPr>
        <w:spacing w:after="40"/>
      </w:pPr>
      <w:r>
        <w:rPr>
          <w:sz w:val="22"/>
        </w:rPr>
        <w:t>• Se preservan los logs y evidencias antes de cualquier intervención, siguiendo el procedimiento de cadena de custodia.</w:t>
      </w:r>
    </w:p>
    <w:p>
      <w:pPr>
        <w:spacing w:after="40"/>
      </w:pPr>
      <w:r>
        <w:rPr>
          <w:sz w:val="22"/>
        </w:rPr>
        <w:t>• Si el nivel es N3, el CISO activa la alerta a ANCI en un máximo de 3 horas desde que toma conocimiento.</w:t>
      </w:r>
    </w:p>
    <w:p>
      <w:pPr>
        <w:spacing w:before="120"/>
      </w:pPr>
      <w:r>
        <w:rPr>
          <w:b/>
          <w:color w:val="2E74B5"/>
          <w:sz w:val="22"/>
        </w:rPr>
        <w:t>Fase 3 — Análisis y erradicación</w:t>
      </w:r>
    </w:p>
    <w:p>
      <w:pPr>
        <w:spacing w:after="40"/>
      </w:pPr>
      <w:r>
        <w:rPr>
          <w:sz w:val="22"/>
        </w:rPr>
        <w:t>• El ERI determina la causa raíz, el vector de ataque, los sistemas comprometidos y los datos potencialmente afectados.</w:t>
      </w:r>
    </w:p>
    <w:p>
      <w:pPr>
        <w:spacing w:after="40"/>
      </w:pPr>
      <w:r>
        <w:rPr>
          <w:sz w:val="22"/>
        </w:rPr>
        <w:t>• Se eliminan los artefactos maliciosos, se parchean las vulnerabilidades explotadas y se restablecen credenciales comprometidas.</w:t>
      </w:r>
    </w:p>
    <w:p>
      <w:pPr>
        <w:spacing w:after="40"/>
      </w:pPr>
      <w:r>
        <w:rPr>
          <w:sz w:val="22"/>
        </w:rPr>
        <w:t>• Se evalúa si el incidente involucra datos personales (Ley N° 19.628) o datos PCI, lo que puede activar obligaciones adicionales de notificación.</w:t>
      </w:r>
    </w:p>
    <w:p>
      <w:pPr>
        <w:spacing w:before="120"/>
      </w:pPr>
      <w:r>
        <w:rPr>
          <w:b/>
          <w:color w:val="2E74B5"/>
          <w:sz w:val="22"/>
        </w:rPr>
        <w:t>Fase 4 — Recuperación</w:t>
      </w:r>
    </w:p>
    <w:p>
      <w:pPr>
        <w:spacing w:after="40"/>
      </w:pPr>
      <w:r>
        <w:rPr>
          <w:sz w:val="22"/>
        </w:rPr>
        <w:t>• Se restauran los sistemas afectados desde respaldos verificados, conforme al procedimiento de backup y recuperación (POL-SGSI-03).</w:t>
      </w:r>
    </w:p>
    <w:p>
      <w:pPr>
        <w:spacing w:after="40"/>
      </w:pPr>
      <w:r>
        <w:rPr>
          <w:sz w:val="22"/>
        </w:rPr>
        <w:t>• Se monitorea activamente la infraestructura recuperada durante un mínimo de 72 horas tras la restauración.</w:t>
      </w:r>
    </w:p>
    <w:p>
      <w:pPr>
        <w:spacing w:after="40"/>
      </w:pPr>
      <w:r>
        <w:rPr>
          <w:sz w:val="22"/>
        </w:rPr>
        <w:t>• La vuelta a producción requiere autorización expresa del CISO.</w:t>
      </w:r>
    </w:p>
    <w:p>
      <w:pPr>
        <w:spacing w:before="120"/>
      </w:pPr>
      <w:r>
        <w:rPr>
          <w:b/>
          <w:color w:val="2E74B5"/>
          <w:sz w:val="22"/>
        </w:rPr>
        <w:t>Fase 5 — Lecciones aprendidas</w:t>
      </w:r>
    </w:p>
    <w:p>
      <w:pPr>
        <w:spacing w:after="40"/>
      </w:pPr>
      <w:r>
        <w:rPr>
          <w:sz w:val="22"/>
        </w:rPr>
        <w:t>• Dentro de los 10 días hábiles posteriores al cierre del incidente se realiza una reunión de lecciones aprendidas con el ERI, Gerencia TI y el CISO.</w:t>
      </w:r>
    </w:p>
    <w:p>
      <w:pPr>
        <w:spacing w:after="40"/>
      </w:pPr>
      <w:r>
        <w:rPr>
          <w:sz w:val="22"/>
        </w:rPr>
        <w:t>• Se documenta el informe post-incidente con causa raíz, cronología, impacto real, acciones correctivas y mejoras al SGSI.</w:t>
      </w:r>
    </w:p>
    <w:p>
      <w:pPr>
        <w:spacing w:after="40"/>
      </w:pPr>
      <w:r>
        <w:rPr>
          <w:sz w:val="22"/>
        </w:rPr>
        <w:t>• Los hallazgos se incorporan al plan de tratamiento de riesgos y al backlog de mejoras del SGSI.</w:t>
      </w:r>
    </w:p>
    <w:p>
      <w:pPr>
        <w:spacing w:before="160"/>
      </w:pPr>
      <w:r>
        <w:rPr>
          <w:b/>
          <w:sz w:val="22"/>
        </w:rPr>
        <w:t>5.4 Gestión de evidencia y cadena de custodia</w:t>
      </w:r>
    </w:p>
    <w:p>
      <w:pPr>
        <w:spacing w:after="40"/>
      </w:pPr>
      <w:r>
        <w:rPr>
          <w:sz w:val="22"/>
        </w:rPr>
        <w:t>• Toda evidencia digital (logs, imágenes forenses, capturas de memoria) debe ser recopilada siguiendo el principio de integridad: sin modificar los originales, usando herramientas de hashing (SHA-256) para verificar la integridad.</w:t>
      </w:r>
    </w:p>
    <w:p>
      <w:pPr>
        <w:spacing w:after="40"/>
      </w:pPr>
      <w:r>
        <w:rPr>
          <w:sz w:val="22"/>
        </w:rPr>
        <w:t>• La cadena de custodia se registra en el formulario corporativo, indicando quién recopiló la evidencia, cuándo, desde qué sistema y con qué herramienta.</w:t>
      </w:r>
    </w:p>
    <w:p>
      <w:pPr>
        <w:spacing w:after="40"/>
      </w:pPr>
      <w:r>
        <w:rPr>
          <w:sz w:val="22"/>
        </w:rPr>
        <w:t>• Los logs de sistemas críticos se retienen durante un mínimo de 12 meses en un repositorio inmutable, de acuerdo con POL-SGSI-08.</w:t>
      </w:r>
    </w:p>
    <w:p>
      <w:pPr>
        <w:spacing w:after="40"/>
      </w:pPr>
      <w:r>
        <w:rPr>
          <w:sz w:val="22"/>
        </w:rPr>
        <w:t>• La evidencia no puede ser borrada o alterada sin autorización expresa del CISO, incluso si los sistemas ya fueron restaurados.</w:t>
      </w:r>
    </w:p>
    <w:p>
      <w:pPr>
        <w:spacing w:before="160"/>
      </w:pPr>
      <w:r>
        <w:rPr>
          <w:b/>
          <w:sz w:val="22"/>
        </w:rPr>
        <w:t>5.5 Comunicación durante un incidente</w:t>
      </w:r>
    </w:p>
    <w:p>
      <w:pPr>
        <w:spacing w:after="40"/>
      </w:pPr>
      <w:r>
        <w:rPr>
          <w:sz w:val="22"/>
        </w:rPr>
        <w:t>• Durante un incidente activo, la comunicación externa (clientes, prensa, proveedores) es exclusividad de la Gerencia General, coordinada con Legal. Ningún otro funcionario puede hacer declaraciones públicas.</w:t>
      </w:r>
    </w:p>
    <w:p>
      <w:pPr>
        <w:spacing w:after="40"/>
      </w:pPr>
      <w:r>
        <w:rPr>
          <w:sz w:val="22"/>
        </w:rPr>
        <w:t>• Las comunicaciones internas sobre el incidente se restringen al canal cifrado definido por el CISO para evitar que el atacante monitoree las acciones de respuesta.</w:t>
      </w:r>
    </w:p>
    <w:p>
      <w:pPr>
        <w:spacing w:after="40"/>
      </w:pPr>
      <w:r>
        <w:rPr>
          <w:sz w:val="22"/>
        </w:rPr>
        <w:t>• Si el incidente compromete datos personales de clientes, Legal evaluará la obligación de notificación a los titulares conforme a la Ley N° 19.628.</w:t>
      </w:r>
    </w:p>
    <w:p>
      <w:pPr>
        <w:spacing w:after="40"/>
      </w:pPr>
      <w:r>
        <w:rPr>
          <w:sz w:val="22"/>
        </w:rPr>
        <w:t>• Los proveedores afectados (especialmente el proveedor logístico OIV) son notificados por el CISO dentro de las 4 horas si el incidente afecta datos compartidos con ellos.</w:t>
      </w:r>
    </w:p>
    <w:p>
      <w:pPr>
        <w:spacing w:before="200" w:after="80"/>
      </w:pPr>
      <w:r>
        <w:rPr>
          <w:b/>
          <w:color w:val="1F3864"/>
          <w:sz w:val="26"/>
        </w:rPr>
        <w:t>6. Incumplimientos</w:t>
      </w:r>
    </w:p>
    <w:p>
      <w:pPr>
        <w:spacing w:after="40"/>
      </w:pPr>
      <w:r>
        <w:rPr>
          <w:sz w:val="22"/>
        </w:rPr>
        <w:t>El incumplimiento de los plazos de reporte a ANCI establecidos en esta política y en la Ley N° 21.663 puede derivar en sanciones administrativas para NovaRetail SpA y responsabilidad personal del CISO. Todo incumplimiento interno (no reporte oportuno por parte de usuarios, alteración de evidencia, comunicación no autorizada) será gestionado conforme al reglamento interno de NovaRetail SpA y puede dar origen a medidas disciplinarias según la normativa laboral aplicable.</w:t>
      </w:r>
    </w:p>
    <w:p>
      <w:pPr>
        <w:spacing w:before="200" w:after="80"/>
      </w:pPr>
      <w:r>
        <w:rPr>
          <w:b/>
          <w:color w:val="1F3864"/>
          <w:sz w:val="26"/>
        </w:rPr>
        <w:t>7. Documentos relacionados</w:t>
      </w:r>
    </w:p>
    <w:p>
      <w:pPr>
        <w:spacing w:after="40"/>
      </w:pPr>
      <w:r>
        <w:rPr>
          <w:sz w:val="22"/>
        </w:rPr>
        <w:t>• Ley N° 21.663 — Ley Marco de Ciberseguridad de Chile (2024), arts. 23 y 24</w:t>
      </w:r>
    </w:p>
    <w:p>
      <w:pPr>
        <w:spacing w:after="40"/>
      </w:pPr>
      <w:r>
        <w:rPr>
          <w:sz w:val="22"/>
        </w:rPr>
        <w:t>• SoA – controles 5.24, 5.25, 5.26, 5.27, 5.28 (ISO/IEC 27001:2022)</w:t>
      </w:r>
    </w:p>
    <w:p>
      <w:pPr>
        <w:spacing w:after="40"/>
      </w:pPr>
      <w:r>
        <w:rPr>
          <w:sz w:val="22"/>
        </w:rPr>
        <w:t>• Matriz de riesgos (R-03, R-06, R-09, R-11, R-14, R-16)</w:t>
      </w:r>
    </w:p>
    <w:p>
      <w:pPr>
        <w:spacing w:after="40"/>
      </w:pPr>
      <w:r>
        <w:rPr>
          <w:sz w:val="22"/>
        </w:rPr>
        <w:t>• POL-SGSI-01 — Política de control de acceso</w:t>
      </w:r>
    </w:p>
    <w:p>
      <w:pPr>
        <w:spacing w:after="40"/>
      </w:pPr>
      <w:r>
        <w:rPr>
          <w:sz w:val="22"/>
        </w:rPr>
        <w:t>• POL-SGSI-03 — Política de respaldo y recuperación</w:t>
      </w:r>
    </w:p>
    <w:p>
      <w:pPr>
        <w:spacing w:after="40"/>
      </w:pPr>
      <w:r>
        <w:rPr>
          <w:sz w:val="22"/>
        </w:rPr>
        <w:t>• POL-SGSI-08 — Política de registro y monitoreo</w:t>
      </w:r>
    </w:p>
    <w:p>
      <w:pPr>
        <w:spacing w:after="40"/>
      </w:pPr>
      <w:r>
        <w:rPr>
          <w:sz w:val="22"/>
        </w:rPr>
        <w:t>• POL-SGSI-09 — Política de gestión de vulnerabilidades</w:t>
      </w:r>
    </w:p>
    <w:p>
      <w:pPr>
        <w:spacing w:after="40"/>
      </w:pPr>
      <w:r>
        <w:rPr>
          <w:sz w:val="22"/>
        </w:rPr>
        <w:t>• Procedimiento de gestión de incidentes con plazos ANCI (pendiente)</w:t>
      </w:r>
    </w:p>
    <w:p>
      <w:pPr>
        <w:spacing w:after="40"/>
      </w:pPr>
      <w:r>
        <w:rPr>
          <w:sz w:val="22"/>
        </w:rPr>
        <w:t>• Formulario de cadena de custodia de evidencia digital (pendiente)</w:t>
      </w:r>
    </w:p>
    <w:p>
      <w:pPr>
        <w:spacing w:after="40"/>
      </w:pPr>
      <w:r>
        <w:rPr>
          <w:sz w:val="22"/>
        </w:rPr>
        <w:t>• Formulario de reporte ANCI — alerta temprana / reporte inicial / reporte final (pendiente)</w:t>
      </w:r>
    </w:p>
    <w:p>
      <w:pPr>
        <w:spacing w:before="200" w:after="80"/>
      </w:pPr>
      <w:r>
        <w:rPr>
          <w:b/>
          <w:color w:val="1F3864"/>
          <w:sz w:val="26"/>
        </w:rPr>
        <w:t>8. Control de cambios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BDD7EE"/>
          </w:tcPr>
          <w:p>
            <w:r>
              <w:rPr>
                <w:b/>
                <w:sz w:val="20"/>
              </w:rPr>
              <w:t>Versión</w:t>
            </w:r>
          </w:p>
        </w:tc>
        <w:tc>
          <w:tcPr>
            <w:tcW w:type="dxa" w:w="2280"/>
            <w:shd w:val="clear" w:color="auto" w:fill="BDD7EE"/>
          </w:tcPr>
          <w:p>
            <w:r>
              <w:rPr>
                <w:b/>
                <w:sz w:val="20"/>
              </w:rPr>
              <w:t>Fecha</w:t>
            </w:r>
          </w:p>
        </w:tc>
        <w:tc>
          <w:tcPr>
            <w:tcW w:type="dxa" w:w="2280"/>
            <w:shd w:val="clear" w:color="auto" w:fill="BDD7EE"/>
          </w:tcPr>
          <w:p>
            <w:r>
              <w:rPr>
                <w:b/>
                <w:sz w:val="20"/>
              </w:rPr>
              <w:t>Descripción del cambio</w:t>
            </w:r>
          </w:p>
        </w:tc>
        <w:tc>
          <w:tcPr>
            <w:tcW w:type="dxa" w:w="2280"/>
            <w:shd w:val="clear" w:color="auto" w:fill="BDD7EE"/>
          </w:tcPr>
          <w:p>
            <w:r>
              <w:rPr>
                <w:b/>
                <w:sz w:val="20"/>
              </w:rPr>
              <w:t>Responsable</w:t>
            </w:r>
          </w:p>
        </w:tc>
      </w:tr>
      <w:tr>
        <w:tc>
          <w:tcPr>
            <w:tcW w:type="dxa" w:w="2280"/>
          </w:tcPr>
          <w:p>
            <w:r>
              <w:rPr>
                <w:sz w:val="20"/>
              </w:rPr>
              <w:t>1.0</w:t>
            </w:r>
          </w:p>
        </w:tc>
        <w:tc>
          <w:tcPr>
            <w:tcW w:type="dxa" w:w="2280"/>
          </w:tcPr>
          <w:p>
            <w:r>
              <w:rPr>
                <w:sz w:val="20"/>
              </w:rPr>
              <w:t>22-04-2026</w:t>
            </w:r>
          </w:p>
        </w:tc>
        <w:tc>
          <w:tcPr>
            <w:tcW w:type="dxa" w:w="2280"/>
          </w:tcPr>
          <w:p>
            <w:r>
              <w:rPr>
                <w:sz w:val="20"/>
              </w:rPr>
              <w:t>Emisión inicial del documento</w:t>
            </w:r>
          </w:p>
        </w:tc>
        <w:tc>
          <w:tcPr>
            <w:tcW w:type="dxa" w:w="2280"/>
          </w:tcPr>
          <w:p>
            <w:r>
              <w:rPr>
                <w:sz w:val="20"/>
              </w:rPr>
              <w:t>Equipo SGSI NovaRetail</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F157D06D9BF21845883178A07635BF0C" ma:contentTypeVersion="10" ma:contentTypeDescription="Crear nuevo documento." ma:contentTypeScope="" ma:versionID="575d623067b72151a8374f2b990c1272">
  <xsd:schema xmlns:xsd="http://www.w3.org/2001/XMLSchema" xmlns:xs="http://www.w3.org/2001/XMLSchema" xmlns:p="http://schemas.microsoft.com/office/2006/metadata/properties" xmlns:ns2="ba7224a4-a1e3-4c3e-badf-085058869b86" xmlns:ns3="4fc427ff-965a-4fb4-bd01-7c253ae8b03b" targetNamespace="http://schemas.microsoft.com/office/2006/metadata/properties" ma:root="true" ma:fieldsID="53e290cc238b21a49accbbf14491a7b2" ns2:_="" ns3:_="">
    <xsd:import namespace="ba7224a4-a1e3-4c3e-badf-085058869b86"/>
    <xsd:import namespace="4fc427ff-965a-4fb4-bd01-7c253ae8b0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7224a4-a1e3-4c3e-badf-085058869b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e777c97-9e47-4338-8e8a-2390167a358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c427ff-965a-4fb4-bd01-7c253ae8b03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6247468-c4c7-4c67-a550-c3fa8442b9ab}" ma:internalName="TaxCatchAll" ma:showField="CatchAllData" ma:web="4fc427ff-965a-4fb4-bd01-7c253ae8b0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a7224a4-a1e3-4c3e-badf-085058869b86">
      <Terms xmlns="http://schemas.microsoft.com/office/infopath/2007/PartnerControls"/>
    </lcf76f155ced4ddcb4097134ff3c332f>
    <TaxCatchAll xmlns="4fc427ff-965a-4fb4-bd01-7c253ae8b03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0BF59EB-6728-4807-8DEB-4951405C4D55}"/>
</file>

<file path=customXml/itemProps3.xml><?xml version="1.0" encoding="utf-8"?>
<ds:datastoreItem xmlns:ds="http://schemas.openxmlformats.org/officeDocument/2006/customXml" ds:itemID="{C0B6164F-E05E-4417-B191-59C458A63C5A}"/>
</file>

<file path=customXml/itemProps4.xml><?xml version="1.0" encoding="utf-8"?>
<ds:datastoreItem xmlns:ds="http://schemas.openxmlformats.org/officeDocument/2006/customXml" ds:itemID="{947526CA-9444-48D2-BA56-C69B04A0876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0x010100F157D06D9BF21845883178A07635BF0C</vt:lpwstr>
  </property>
</Properties>
</file>