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POLÍTICAS DE SEGURIDAD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Código del conjunto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POL-SGSI-01 a POL-SGSI-15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POL-SGSI-14 — Política de contratación y desvinculación</w:t>
      </w:r>
    </w:p>
    <w:p>
      <w:pPr>
        <w:jc w:val="center"/>
      </w:pPr>
      <w:r>
        <w:rPr>
          <w:i/>
        </w:rPr>
        <w:t>Política de seguridad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POL-SGSI-14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controles de seguridad de la información aplicables antes, durante y al término de la relación laboral o contractual de personas con NovaRetail SpA, asegurando que los empleados y contratistas conozcan sus responsabilidades de seguridad y que el cese de la relación no genere riesgos residuales de acceso no autorizado o fuga de información.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todo el ciclo de vida de la relación con las personas que trabajan para o en nombre de NovaRetail SpA: empleados de planta, personal a honorarios, contratistas, practicantes y personal de proveedores con acceso a instalaciones o sistemas de NovaRetail.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RRHH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Gestiona el proceso de selección, onboarding y offboarding. Notifica a Gerencia TI y CISO los cambios de personal.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Define los requisitos de seguridad para el personal. Aprueba el contenido de la capacitación en seguridad.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Gestiona los accesos técnicos en los procesos de alta y baja (ver PROC-SGSI-06).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Jefatura directa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Aprueba los accesos del colaborador. Valida que recibió la inducción de seguridad. Notifica cambios de rol.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Legal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Asegura que los contratos incluyen las cláusulas de confidencialidad y los compromisos de seguridad requeridos.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Lineamientos de la política</w:t>
      </w:r>
    </w:p>
    <w:p>
      <w:pPr>
        <w:spacing w:before="140"/>
      </w:pPr>
      <w:r>
        <w:rPr>
          <w:b/>
          <w:sz w:val="22"/>
        </w:rPr>
        <w:t>5.1 Antes de la contratación (pre-empleo)</w:t>
      </w:r>
    </w:p>
    <w:p>
      <w:pPr>
        <w:spacing w:after="40"/>
      </w:pPr>
      <w:r>
        <w:rPr>
          <w:sz w:val="22"/>
        </w:rPr>
        <w:t>• Para cargos con acceso a información Confidencial o Secreta, se realizan verificaciones de antecedentes proporcionales al nivel de riesgo del cargo: verificación de identidad, referencias laborales y, para cargos con acceso a datos PCI o sistemas críticos, verificación de antecedentes penales según la normativa aplicable y con consentimiento del postulante.</w:t>
      </w:r>
    </w:p>
    <w:p>
      <w:pPr>
        <w:spacing w:after="40"/>
      </w:pPr>
      <w:r>
        <w:rPr>
          <w:sz w:val="22"/>
        </w:rPr>
        <w:t>• Los contratos de trabajo y honorarios deben incluir cláusulas explícitas de: confidencialidad de la información de NovaRetail, prohibición de divulgar datos de clientes, obligación de reportar incidentes de seguridad, consecuencias disciplinarias y legales del incumplimiento.</w:t>
      </w:r>
    </w:p>
    <w:p>
      <w:pPr>
        <w:spacing w:after="40"/>
      </w:pPr>
      <w:r>
        <w:rPr>
          <w:sz w:val="22"/>
        </w:rPr>
        <w:t>• Los contratistas y proveedores con acceso a sistemas firman adicionalmente un Acuerdo de No Divulgación (NDA) antes de iniciar actividades.</w:t>
      </w:r>
    </w:p>
    <w:p>
      <w:pPr>
        <w:spacing w:before="140"/>
      </w:pPr>
      <w:r>
        <w:rPr>
          <w:b/>
          <w:sz w:val="22"/>
        </w:rPr>
        <w:t>5.2 Durante la contratación (onboarding)</w:t>
      </w:r>
    </w:p>
    <w:p>
      <w:pPr>
        <w:spacing w:after="40"/>
      </w:pPr>
      <w:r>
        <w:rPr>
          <w:sz w:val="22"/>
        </w:rPr>
        <w:t>En el primer día de trabajo, todo nuevo empleado o contratista debe completar el checklist de incorporación de seguridad: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386"/>
        <w:gridCol w:w="2835"/>
      </w:tblGrid>
      <w:tr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Firma del contrato con cláusulas de confidencialidad y seguridad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RRHH + Legal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Lectura y firma de aceptación de las Políticas de Seguridad del SGSI (POL-SGSI-01 a 15)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RRHH + CISO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Inducción de seguridad: uso aceptable, contraseñas, reporte de incidentes, clasificación de información (mín. 1 hora)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RRHH / CISO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Entrega de credenciales de acceso y alta en el gestor de contraseñas corporativo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Configuración de MFA en todos los sistemas corporativos requeridos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Entrega de equipo corporativo (si aplica) con cifrado de disco habilitado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</w:t>
            </w:r>
          </w:p>
        </w:tc>
      </w:tr>
    </w:tbl>
    <w:p>
      <w:pPr>
        <w:spacing w:before="140"/>
      </w:pPr>
      <w:r>
        <w:rPr>
          <w:b/>
          <w:sz w:val="22"/>
        </w:rPr>
        <w:t>5.3 Durante el empleo (cambios de rol y responsabilidades)</w:t>
      </w:r>
    </w:p>
    <w:p>
      <w:pPr>
        <w:spacing w:after="40"/>
      </w:pPr>
      <w:r>
        <w:rPr>
          <w:sz w:val="22"/>
        </w:rPr>
        <w:t>• Todo cambio de cargo, área o responsabilidades se notifica a Gerencia TI y CISO dentro de las 24 horas, para ajustar los accesos conforme a PROC-SGSI-06.</w:t>
      </w:r>
    </w:p>
    <w:p>
      <w:pPr>
        <w:spacing w:after="40"/>
      </w:pPr>
      <w:r>
        <w:rPr>
          <w:sz w:val="22"/>
        </w:rPr>
        <w:t>• Los empleados con acceso a información Confidencial o Secreta completan capacitación en ciberseguridad al menos una vez al año (T-19).</w:t>
      </w:r>
    </w:p>
    <w:p>
      <w:pPr>
        <w:spacing w:after="40"/>
      </w:pPr>
      <w:r>
        <w:rPr>
          <w:sz w:val="22"/>
        </w:rPr>
        <w:t>• Las jefaturas reportan al CISO cualquier comportamiento inusual de un colaborador relacionado con el acceso a información (accesos fuera de horario, intentos de acceso a sistemas no autorizados, descarga masiva de datos).</w:t>
      </w:r>
    </w:p>
    <w:p>
      <w:pPr>
        <w:spacing w:before="140"/>
      </w:pPr>
      <w:r>
        <w:rPr>
          <w:b/>
          <w:sz w:val="22"/>
        </w:rPr>
        <w:t>5.4 Término de la relación laboral (offboarding)</w:t>
      </w:r>
    </w:p>
    <w:p>
      <w:pPr>
        <w:spacing w:after="40"/>
      </w:pPr>
      <w:r>
        <w:rPr>
          <w:sz w:val="22"/>
        </w:rPr>
        <w:t>El proceso de desvinculación sigue el checklist de offboarding de seguridad: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386"/>
        <w:gridCol w:w="2835"/>
      </w:tblGrid>
      <w:tr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RRHH notifica a Gerencia TI y CISO la desvinculación (con anticipación cuando sea posible)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RRHH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Revocación de todos los accesos lógicos el mismo día de la desvinculación (ver PROC-SGSI-06 Proceso C)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Rotación de contraseñas compartidas o de equipo a las que el empleado tenía acceso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Devolución de equipos corporativos (laptop, tablet, token, tarjeta de acceso físico)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RRHH + 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Borrado seguro del equipo devuelto antes de su reasignación (ver PROC-SGSI-12)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Revisión de logs del empleado en las últimas 72 horas (en casos de despido por causa grave)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Firma del finiquito con recordatorio de las obligaciones de confidencialidad post-empleo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RRHH + Legal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Desactivación del correo corporativo y redireccionamiento de mensajes entrantes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</w:t>
            </w:r>
          </w:p>
        </w:tc>
      </w:tr>
    </w:tbl>
    <w:p>
      <w:pPr>
        <w:spacing w:before="140"/>
      </w:pPr>
      <w:r>
        <w:rPr>
          <w:b/>
          <w:sz w:val="22"/>
        </w:rPr>
        <w:t>5.5 Obligaciones de confidencialidad post-empleo</w:t>
      </w:r>
    </w:p>
    <w:p>
      <w:pPr>
        <w:spacing w:after="40"/>
      </w:pPr>
      <w:r>
        <w:rPr>
          <w:sz w:val="22"/>
        </w:rPr>
        <w:t>• Las obligaciones de confidencialidad sobre información Secreta o Confidencial de NovaRetail se extienden por 2 años tras el término de la relación laboral, salvo que la ley o el contrato establezcan un plazo mayor.</w:t>
      </w:r>
    </w:p>
    <w:p>
      <w:pPr>
        <w:spacing w:after="40"/>
      </w:pPr>
      <w:r>
        <w:rPr>
          <w:sz w:val="22"/>
        </w:rPr>
        <w:t>• El ex-empleado no puede divulgar, usar en beneficio propio ni trasladar a su nuevo empleador información clasificada de NovaRetail.</w:t>
      </w:r>
    </w:p>
    <w:p>
      <w:pPr>
        <w:spacing w:after="40"/>
      </w:pPr>
      <w:r>
        <w:rPr>
          <w:sz w:val="22"/>
        </w:rPr>
        <w:t>• NovaRetail puede ejercer acciones legales ante el incumplimiento de estas obligaciones.</w:t>
      </w:r>
    </w:p>
    <w:p>
      <w:pPr>
        <w:spacing w:before="200" w:after="80"/>
      </w:pPr>
      <w:r>
        <w:rPr>
          <w:b/>
          <w:color w:val="1F3864"/>
          <w:sz w:val="26"/>
        </w:rPr>
        <w:t>6. Incumplimientos</w:t>
      </w:r>
    </w:p>
    <w:p>
      <w:pPr>
        <w:spacing w:after="40"/>
      </w:pPr>
      <w:r>
        <w:rPr>
          <w:sz w:val="22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 El incumplimiento de las obligaciones de seguridad durante el empleo puede dar lugar a término de contrato con causa justificada. Las infracciones post-empleo pueden derivar en acciones civiles y penales.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POL-SGSI-01 — Política de control de acceso</w:t>
      </w:r>
    </w:p>
    <w:p>
      <w:pPr>
        <w:spacing w:after="40"/>
      </w:pPr>
      <w:r>
        <w:rPr>
          <w:sz w:val="22"/>
        </w:rPr>
        <w:t>• PROC-SGSI-06 — Procedimiento de alta, modificación y baja de accesos</w:t>
      </w:r>
    </w:p>
    <w:p>
      <w:pPr>
        <w:spacing w:after="40"/>
      </w:pPr>
      <w:r>
        <w:rPr>
          <w:sz w:val="22"/>
        </w:rPr>
        <w:t>• PROC-SGSI-08 — Procedimiento de uso del gestor de contraseñas</w:t>
      </w:r>
    </w:p>
    <w:p>
      <w:pPr>
        <w:spacing w:after="40"/>
      </w:pPr>
      <w:r>
        <w:rPr>
          <w:sz w:val="22"/>
        </w:rPr>
        <w:t>• PROC-SGSI-12 — Procedimiento de retención y eliminación segura</w:t>
      </w:r>
    </w:p>
    <w:p>
      <w:pPr>
        <w:spacing w:after="40"/>
      </w:pPr>
      <w:r>
        <w:rPr>
          <w:sz w:val="22"/>
        </w:rPr>
        <w:t>• SoA – controles 6.1, 6.2, 6.5 (ISO/IEC 27001:2022)</w:t>
      </w:r>
    </w:p>
    <w:p>
      <w:pPr>
        <w:spacing w:after="40"/>
      </w:pPr>
      <w:r>
        <w:rPr>
          <w:sz w:val="22"/>
        </w:rPr>
        <w:t>• Matriz de riesgos (R-07, R-15)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AE773-5D34-41B2-ACB0-893932A63AB3}"/>
</file>

<file path=customXml/itemProps3.xml><?xml version="1.0" encoding="utf-8"?>
<ds:datastoreItem xmlns:ds="http://schemas.openxmlformats.org/officeDocument/2006/customXml" ds:itemID="{4EEB77B4-F167-4407-92FA-A97E4DB768E5}"/>
</file>

<file path=customXml/itemProps4.xml><?xml version="1.0" encoding="utf-8"?>
<ds:datastoreItem xmlns:ds="http://schemas.openxmlformats.org/officeDocument/2006/customXml" ds:itemID="{95D52D70-C11A-412C-860D-9C8FA724C4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