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28"/>
        </w:rPr>
        <w:t>PROCEDIMIENTOS DEL SISTEMA DE GESTIÓN DE SEGURIDAD DE LA INFORMACIÓN</w:t>
      </w:r>
    </w:p>
    <w:p>
      <w:pPr>
        <w:jc w:val="center"/>
      </w:pPr>
      <w:r>
        <w:rPr>
          <w:b/>
          <w:sz w:val="26"/>
        </w:rPr>
        <w:t>NovaRetail SpA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Actividad práctica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Gobernanza e Implementación de un SGSI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Asignatura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Gestión de la Ciberseguridad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Integrantes del grupo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Sergio Cubelli</w:t>
              <w:br/>
              <w:t>Savka Carvajal</w:t>
              <w:br/>
              <w:t>Joaquín Zambra</w:t>
              <w:br/>
              <w:t>Alejandro Tapia</w:t>
              <w:br/>
              <w:t>Filippo Moreno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Estado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Interno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3864"/>
          <w:sz w:val="28"/>
        </w:rPr>
        <w:t>PROC-SGSI-03 — Procedimiento de rollback de sistemas y aplicaciones</w:t>
      </w:r>
    </w:p>
    <w:p>
      <w:pPr>
        <w:jc w:val="center"/>
      </w:pPr>
      <w:r>
        <w:rPr>
          <w:i/>
        </w:rPr>
        <w:t>Procedimiento operativo del SGSI de NovaRetail SpA.</w:t>
      </w:r>
    </w:p>
    <w:p/>
    <w:p>
      <w:pPr>
        <w:spacing w:before="200" w:after="80"/>
      </w:pPr>
      <w:r>
        <w:rPr>
          <w:b/>
          <w:color w:val="1F3864"/>
          <w:sz w:val="26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Código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PROC-SGSI-03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Interno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Elaborado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Equipo SGSI NovaRetail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Revisado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CISO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Aprobado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Gerencia General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Próxima revisión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22-04-2027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Políticas base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POL-SGSI-03 — Respaldo y recuperación</w:t>
              <w:br/>
              <w:t>POL-SGSI-05 — Gestión de parches y actualizaciones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2. Objetivo</w:t>
      </w:r>
    </w:p>
    <w:p>
      <w:pPr>
        <w:spacing w:after="40"/>
      </w:pPr>
      <w:r>
        <w:rPr>
          <w:sz w:val="22"/>
        </w:rPr>
        <w:t>Establecer los criterios y pasos operativos para revertir un cambio, parche o despliegue que haya causado degradación funcional, fallo de seguridad o impacto operacional en los sistemas de NovaRetail SpA, garantizando la restauración ordenada y verificada al último estado estable conocido.</w:t>
      </w:r>
    </w:p>
    <w:p>
      <w:pPr>
        <w:spacing w:before="200" w:after="80"/>
      </w:pPr>
      <w:r>
        <w:rPr>
          <w:b/>
          <w:color w:val="1F3864"/>
          <w:sz w:val="26"/>
        </w:rPr>
        <w:t>3. Alcance</w:t>
      </w:r>
    </w:p>
    <w:p>
      <w:pPr>
        <w:spacing w:after="40"/>
      </w:pPr>
      <w:r>
        <w:rPr>
          <w:sz w:val="22"/>
        </w:rPr>
        <w:t>Aplica a cambios en sistemas operativos, aplicaciones (portal e-commerce, ERP, pasarela de pago), bases de datos, configuraciones de red y firmware de dispositivos de NovaRetail SpA en los ambientes de producción.</w:t>
      </w:r>
    </w:p>
    <w:p>
      <w:pPr>
        <w:spacing w:before="200" w:after="80"/>
      </w:pPr>
      <w:r>
        <w:rPr>
          <w:b/>
          <w:color w:val="1F3864"/>
          <w:sz w:val="26"/>
        </w:rPr>
        <w:t>4. Roles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CISO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Autoriza la ejecución del rollback cuando el cambio tiene implicancias de seguridad.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Gerencia TI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Toma la decisión técnica de activar rollback y ejecuta el procedimiento.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DBA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Ejecuta el rollback de bases de datos cuando aplica.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Jefatura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Autoriza el corte de servicio necesario para ejecutar el rollback en sistemas de su área.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5. Descripción del procedimiento</w:t>
      </w:r>
    </w:p>
    <w:p>
      <w:pPr>
        <w:spacing w:before="140"/>
      </w:pPr>
      <w:r>
        <w:rPr>
          <w:b/>
          <w:color w:val="2E74B5"/>
          <w:sz w:val="22"/>
        </w:rPr>
        <w:t>Paso 1 — Criterios para activar rollback</w:t>
      </w:r>
    </w:p>
    <w:p>
      <w:pPr>
        <w:spacing w:after="40"/>
      </w:pPr>
      <w:r>
        <w:rPr>
          <w:sz w:val="22"/>
        </w:rPr>
        <w:t>Se activa el rollback cuando se cumple alguno de los siguientes criterios tras aplicar un cambio: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835"/>
        <w:gridCol w:w="3969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3969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Responsable de decisión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Fallo funcional crítico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El sistema afectado no responde o genera errores no recuperables en producción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Gerencia TI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Degradación de rendimiento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Tiempo de respuesta &gt; 3× la línea base por más de 15 min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Gerencia TI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Regresión de seguridad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El cambio introduce una vulnerabilidad identificada post-despliegue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CISO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Fallo en verificación BD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Integridad referencial rota o datos corruptos detectados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DBA + CISO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Alerta de monitoreo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Alerta P1 en sistema de monitoreo sin resolución en 30 min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Gerencia TI</w:t>
            </w:r>
          </w:p>
        </w:tc>
      </w:tr>
    </w:tbl>
    <w:p>
      <w:pPr>
        <w:spacing w:before="140"/>
      </w:pPr>
      <w:r>
        <w:rPr>
          <w:b/>
          <w:color w:val="2E74B5"/>
          <w:sz w:val="22"/>
        </w:rPr>
        <w:t>Paso 2 — Preparación previa al cambio (prerequisito de rollback)</w:t>
      </w:r>
    </w:p>
    <w:p>
      <w:pPr>
        <w:spacing w:after="40"/>
      </w:pPr>
      <w:r>
        <w:rPr>
          <w:sz w:val="22"/>
        </w:rPr>
        <w:t>Todo cambio en producción debe tener documentado su plan de rollback ANTES de ejecutarse:</w:t>
      </w:r>
    </w:p>
    <w:p>
      <w:pPr>
        <w:spacing w:after="40"/>
      </w:pPr>
      <w:r>
        <w:rPr>
          <w:sz w:val="22"/>
        </w:rPr>
        <w:t>• Snapshot del sistema o imagen de la VM antes del cambio.</w:t>
      </w:r>
    </w:p>
    <w:p>
      <w:pPr>
        <w:spacing w:after="40"/>
      </w:pPr>
      <w:r>
        <w:rPr>
          <w:sz w:val="22"/>
        </w:rPr>
        <w:t>• Backup de BD (tipo diferencial mínimo) ejecutado en las 2 horas previas al cambio.</w:t>
      </w:r>
    </w:p>
    <w:p>
      <w:pPr>
        <w:spacing w:after="40"/>
      </w:pPr>
      <w:r>
        <w:rPr>
          <w:sz w:val="22"/>
        </w:rPr>
        <w:t>• Versión anterior del software/configuración identificada y disponible en repositorio.</w:t>
      </w:r>
    </w:p>
    <w:p>
      <w:pPr>
        <w:spacing w:after="40"/>
      </w:pPr>
      <w:r>
        <w:rPr>
          <w:sz w:val="22"/>
        </w:rPr>
        <w:t>• Checklist de verificación post-cambio definido.</w:t>
      </w:r>
    </w:p>
    <w:p>
      <w:pPr>
        <w:spacing w:after="40"/>
      </w:pPr>
      <w:r>
        <w:rPr>
          <w:sz w:val="22"/>
        </w:rPr>
        <w:t>Sin estos elementos documentados, el cambio no puede ejecutarse en producción.</w:t>
      </w:r>
    </w:p>
    <w:p>
      <w:pPr>
        <w:spacing w:before="140"/>
      </w:pPr>
      <w:r>
        <w:rPr>
          <w:b/>
          <w:color w:val="2E74B5"/>
          <w:sz w:val="22"/>
        </w:rPr>
        <w:t>Paso 3 — Decisión y comunicación de rollback</w:t>
      </w:r>
    </w:p>
    <w:p>
      <w:pPr>
        <w:spacing w:after="40"/>
      </w:pPr>
      <w:r>
        <w:rPr>
          <w:sz w:val="22"/>
        </w:rPr>
        <w:t>• Gerencia TI o el CISO declara la necesidad de rollback e informa a jefatura afectada.</w:t>
      </w:r>
    </w:p>
    <w:p>
      <w:pPr>
        <w:spacing w:after="40"/>
      </w:pPr>
      <w:r>
        <w:rPr>
          <w:sz w:val="22"/>
        </w:rPr>
        <w:t>• Se abre un ticket ITSM de rollback con timestamp y motivo.</w:t>
      </w:r>
    </w:p>
    <w:p>
      <w:pPr>
        <w:spacing w:after="40"/>
      </w:pPr>
      <w:r>
        <w:rPr>
          <w:sz w:val="22"/>
        </w:rPr>
        <w:t>• Se notifica a los usuarios del sistema afectado (estimado de corte de servicio).</w:t>
      </w:r>
    </w:p>
    <w:p>
      <w:pPr>
        <w:spacing w:before="140"/>
      </w:pPr>
      <w:r>
        <w:rPr>
          <w:b/>
          <w:color w:val="2E74B5"/>
          <w:sz w:val="22"/>
        </w:rPr>
        <w:t>Paso 4A — Rollback de aplicación / sistema operativo</w:t>
      </w:r>
    </w:p>
    <w:p>
      <w:pPr>
        <w:spacing w:after="40"/>
      </w:pPr>
      <w:r>
        <w:rPr>
          <w:sz w:val="22"/>
        </w:rPr>
        <w:t>• 1. Detener el servicio afectado.</w:t>
      </w:r>
    </w:p>
    <w:p>
      <w:pPr>
        <w:spacing w:after="40"/>
      </w:pPr>
      <w:r>
        <w:rPr>
          <w:sz w:val="22"/>
        </w:rPr>
        <w:t>• 2. Restaurar la versión anterior desde el repositorio de versiones o desde el snapshot de VM.</w:t>
      </w:r>
    </w:p>
    <w:p>
      <w:pPr>
        <w:spacing w:after="40"/>
      </w:pPr>
      <w:r>
        <w:rPr>
          <w:sz w:val="22"/>
        </w:rPr>
        <w:t>• 3. Si aplica: revertir los cambios de configuración (archivos de config, variables de entorno).</w:t>
      </w:r>
    </w:p>
    <w:p>
      <w:pPr>
        <w:spacing w:after="40"/>
      </w:pPr>
      <w:r>
        <w:rPr>
          <w:sz w:val="22"/>
        </w:rPr>
        <w:t>• 4. Iniciar el servicio y ejecutar el checklist de verificación.</w:t>
      </w:r>
    </w:p>
    <w:p>
      <w:pPr>
        <w:spacing w:after="40"/>
      </w:pPr>
      <w:r>
        <w:rPr>
          <w:sz w:val="22"/>
        </w:rPr>
        <w:t>• 5. Confirmar con Gerencia TI que el servicio opera correctamente.</w:t>
      </w:r>
    </w:p>
    <w:p>
      <w:pPr>
        <w:spacing w:before="140"/>
      </w:pPr>
      <w:r>
        <w:rPr>
          <w:b/>
          <w:color w:val="2E74B5"/>
          <w:sz w:val="22"/>
        </w:rPr>
        <w:t>Paso 4B — Rollback de base de datos</w:t>
      </w:r>
    </w:p>
    <w:p>
      <w:pPr>
        <w:spacing w:after="40"/>
      </w:pPr>
      <w:r>
        <w:rPr>
          <w:sz w:val="22"/>
        </w:rPr>
        <w:t>• 1. El DBA detiene las aplicaciones que escriben en la BD para evitar nuevas transacciones.</w:t>
      </w:r>
    </w:p>
    <w:p>
      <w:pPr>
        <w:spacing w:after="40"/>
      </w:pPr>
      <w:r>
        <w:rPr>
          <w:sz w:val="22"/>
        </w:rPr>
        <w:t>• 2. Restaurar la BD desde el backup diferencial ejecutado antes del cambio (PROC-SGSI-02).</w:t>
      </w:r>
    </w:p>
    <w:p>
      <w:pPr>
        <w:spacing w:after="40"/>
      </w:pPr>
      <w:r>
        <w:rPr>
          <w:sz w:val="22"/>
        </w:rPr>
        <w:t>• 3. Si el motor lo soporta (ej. SQL Server): aplicar rollback transaccional hasta el punto de guardado previo al cambio.</w:t>
      </w:r>
    </w:p>
    <w:p>
      <w:pPr>
        <w:spacing w:after="40"/>
      </w:pPr>
      <w:r>
        <w:rPr>
          <w:sz w:val="22"/>
        </w:rPr>
        <w:t>• 4. Verificar integridad referencial con consultas de validación.</w:t>
      </w:r>
    </w:p>
    <w:p>
      <w:pPr>
        <w:spacing w:after="40"/>
      </w:pPr>
      <w:r>
        <w:rPr>
          <w:sz w:val="22"/>
        </w:rPr>
        <w:t>• 5. Reiniciar las aplicaciones dependientes y confirmar funcionalidad.</w:t>
      </w:r>
    </w:p>
    <w:p>
      <w:pPr>
        <w:spacing w:before="140"/>
      </w:pPr>
      <w:r>
        <w:rPr>
          <w:b/>
          <w:color w:val="2E74B5"/>
          <w:sz w:val="22"/>
        </w:rPr>
        <w:t>Paso 5 — Verificación post-rollback</w:t>
      </w:r>
    </w:p>
    <w:p>
      <w:pPr>
        <w:spacing w:after="40"/>
      </w:pPr>
      <w:r>
        <w:rPr>
          <w:sz w:val="22"/>
        </w:rPr>
        <w:t>• Ejecutar el checklist de verificación del sistema restaurado.</w:t>
      </w:r>
    </w:p>
    <w:p>
      <w:pPr>
        <w:spacing w:after="40"/>
      </w:pPr>
      <w:r>
        <w:rPr>
          <w:sz w:val="22"/>
        </w:rPr>
        <w:t>• Confirmar que los logs de auditoría y monitoreo están activos.</w:t>
      </w:r>
    </w:p>
    <w:p>
      <w:pPr>
        <w:spacing w:after="40"/>
      </w:pPr>
      <w:r>
        <w:rPr>
          <w:sz w:val="22"/>
        </w:rPr>
        <w:t>• Verificar que no hay otros sistemas dependientes afectados.</w:t>
      </w:r>
    </w:p>
    <w:p>
      <w:pPr>
        <w:spacing w:after="40"/>
      </w:pPr>
      <w:r>
        <w:rPr>
          <w:sz w:val="22"/>
        </w:rPr>
        <w:t>• El CISO o Gerencia TI declara el sistema "estabilizado" y cierra el corte de servicio.</w:t>
      </w:r>
    </w:p>
    <w:p>
      <w:pPr>
        <w:spacing w:before="140"/>
      </w:pPr>
      <w:r>
        <w:rPr>
          <w:b/>
          <w:color w:val="2E74B5"/>
          <w:sz w:val="22"/>
        </w:rPr>
        <w:t>Paso 6 — Análisis post-rollback</w:t>
      </w:r>
    </w:p>
    <w:p>
      <w:pPr>
        <w:spacing w:after="40"/>
      </w:pPr>
      <w:r>
        <w:rPr>
          <w:sz w:val="22"/>
        </w:rPr>
        <w:t>Dentro de las 48 horas siguientes, el equipo responsable del cambio documenta:</w:t>
      </w:r>
    </w:p>
    <w:p>
      <w:pPr>
        <w:spacing w:after="40"/>
      </w:pPr>
      <w:r>
        <w:rPr>
          <w:sz w:val="22"/>
        </w:rPr>
        <w:t>• Causa raíz del fallo que motivó el rollback.</w:t>
      </w:r>
    </w:p>
    <w:p>
      <w:pPr>
        <w:spacing w:after="40"/>
      </w:pPr>
      <w:r>
        <w:rPr>
          <w:sz w:val="22"/>
        </w:rPr>
        <w:t>• Correcciones necesarias antes de reintentar el cambio.</w:t>
      </w:r>
    </w:p>
    <w:p>
      <w:pPr>
        <w:spacing w:after="40"/>
      </w:pPr>
      <w:r>
        <w:rPr>
          <w:sz w:val="22"/>
        </w:rPr>
        <w:t>• Actualización del plan de cambio con las lecciones aprendidas.</w:t>
      </w:r>
    </w:p>
    <w:p>
      <w:pPr>
        <w:spacing w:after="40"/>
      </w:pPr>
      <w:r>
        <w:rPr>
          <w:sz w:val="22"/>
        </w:rPr>
        <w:t>• Si el rollback fue por falla de seguridad: notificar al CISO para evaluar si activa POL-SGSI-11.</w:t>
      </w:r>
    </w:p>
    <w:p>
      <w:pPr>
        <w:spacing w:before="200" w:after="80"/>
      </w:pPr>
      <w:r>
        <w:rPr>
          <w:b/>
          <w:color w:val="1F3864"/>
          <w:sz w:val="26"/>
        </w:rPr>
        <w:t>6. Registros y evidencias</w:t>
      </w:r>
    </w:p>
    <w:p>
      <w:pPr>
        <w:spacing w:after="40"/>
      </w:pPr>
      <w:r>
        <w:rPr>
          <w:sz w:val="22"/>
        </w:rPr>
        <w:t>• Ticket ITSM de rollback con causa, timestamp y resultado</w:t>
      </w:r>
    </w:p>
    <w:p>
      <w:pPr>
        <w:spacing w:after="40"/>
      </w:pPr>
      <w:r>
        <w:rPr>
          <w:sz w:val="22"/>
        </w:rPr>
        <w:t>• Registro del snapshot o backup utilizado para la restauración</w:t>
      </w:r>
    </w:p>
    <w:p>
      <w:pPr>
        <w:spacing w:after="40"/>
      </w:pPr>
      <w:r>
        <w:rPr>
          <w:sz w:val="22"/>
        </w:rPr>
        <w:t>• Checklist de verificación post-rollback firmado por Gerencia TI</w:t>
      </w:r>
    </w:p>
    <w:p>
      <w:pPr>
        <w:spacing w:after="40"/>
      </w:pPr>
      <w:r>
        <w:rPr>
          <w:sz w:val="22"/>
        </w:rPr>
        <w:t>• Informe post-rollback con causa raíz y correcciones (≤ 48 h)</w:t>
      </w:r>
    </w:p>
    <w:p>
      <w:pPr>
        <w:spacing w:before="200" w:after="80"/>
      </w:pPr>
      <w:r>
        <w:rPr>
          <w:b/>
          <w:color w:val="1F3864"/>
          <w:sz w:val="26"/>
        </w:rPr>
        <w:t>7. Documentos relacionados</w:t>
      </w:r>
    </w:p>
    <w:p>
      <w:pPr>
        <w:spacing w:after="40"/>
      </w:pPr>
      <w:r>
        <w:rPr>
          <w:sz w:val="22"/>
        </w:rPr>
        <w:t>• POL-SGSI-03 — Política de respaldo y recuperación</w:t>
      </w:r>
    </w:p>
    <w:p>
      <w:pPr>
        <w:spacing w:after="40"/>
      </w:pPr>
      <w:r>
        <w:rPr>
          <w:sz w:val="22"/>
        </w:rPr>
        <w:t>• POL-SGSI-05 — Política de gestión de parches y actualizaciones</w:t>
      </w:r>
    </w:p>
    <w:p>
      <w:pPr>
        <w:spacing w:after="40"/>
      </w:pPr>
      <w:r>
        <w:rPr>
          <w:sz w:val="22"/>
        </w:rPr>
        <w:t>• PROC-SGSI-01 — Procedimiento de actualización y gestión de parches</w:t>
      </w:r>
    </w:p>
    <w:p>
      <w:pPr>
        <w:spacing w:after="40"/>
      </w:pPr>
      <w:r>
        <w:rPr>
          <w:sz w:val="22"/>
        </w:rPr>
        <w:t>• PROC-SGSI-02 — Procedimiento de backup de base de datos</w:t>
      </w:r>
    </w:p>
    <w:p>
      <w:pPr>
        <w:spacing w:after="40"/>
      </w:pPr>
      <w:r>
        <w:rPr>
          <w:sz w:val="22"/>
        </w:rPr>
        <w:t>• SoA – controles 8.13, 8.32 (ISO/IEC 27001:2022)</w:t>
      </w:r>
    </w:p>
    <w:p>
      <w:pPr>
        <w:spacing w:before="200" w:after="80"/>
      </w:pPr>
      <w:r>
        <w:rPr>
          <w:b/>
          <w:color w:val="1F3864"/>
          <w:sz w:val="26"/>
        </w:rP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Fecha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Descripción del cambio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Responsable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22-04-2026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Emisión inicial del documento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Equipo SGSI NovaRetail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777C545-1C91-49D7-9BE9-BA4B6782CDC5}"/>
</file>

<file path=customXml/itemProps3.xml><?xml version="1.0" encoding="utf-8"?>
<ds:datastoreItem xmlns:ds="http://schemas.openxmlformats.org/officeDocument/2006/customXml" ds:itemID="{405CE7BE-8C02-4CB5-92C8-170D3A7EA7AB}"/>
</file>

<file path=customXml/itemProps4.xml><?xml version="1.0" encoding="utf-8"?>
<ds:datastoreItem xmlns:ds="http://schemas.openxmlformats.org/officeDocument/2006/customXml" ds:itemID="{283EDC8D-FD9A-48DD-AAA0-55210CC55C9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