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f0ab59415324cfcef580b26b0e1456656fd9b9"/>
    <w:p>
      <w:pPr>
        <w:pStyle w:val="Heading1"/>
      </w:pPr>
      <w:r>
        <w:t xml:space="preserve">🛡️ Gap Analysis y Estado del SGSI — NovaRetail SpA</w:t>
      </w:r>
    </w:p>
    <w:p>
      <w:pPr>
        <w:pStyle w:val="BlockText"/>
      </w:pPr>
      <w:r>
        <w:t xml:space="preserve">Análisis de brechas bajo</w:t>
      </w:r>
      <w:r>
        <w:t xml:space="preserve"> </w:t>
      </w:r>
      <w:r>
        <w:rPr>
          <w:b/>
          <w:bCs/>
        </w:rPr>
        <w:t xml:space="preserve">ISO/IEC 27001:2022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NIST CSF 2.0</w:t>
      </w:r>
      <w:r>
        <w:t xml:space="preserve">.</w:t>
      </w:r>
      <w:r>
        <w:t xml:space="preserve"> </w:t>
      </w:r>
      <w:r>
        <w:t xml:space="preserve">Última actualización:</w:t>
      </w:r>
      <w:r>
        <w:t xml:space="preserve"> </w:t>
      </w:r>
      <w:r>
        <w:rPr>
          <w:b/>
          <w:bCs/>
        </w:rPr>
        <w:t xml:space="preserve">17-06-2026</w:t>
      </w:r>
      <w:r>
        <w:t xml:space="preserve"> </w:t>
      </w:r>
      <w:r>
        <w:t xml:space="preserve">· Equipo Thynk Unlimited.</w:t>
      </w:r>
    </w:p>
    <w:bookmarkStart w:id="20" w:name="estado-de-madurez"/>
    <w:p>
      <w:pPr>
        <w:pStyle w:val="Heading2"/>
      </w:pPr>
      <w:r>
        <w:t xml:space="preserve">1. Estado de madurez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Operativa (políticas, procedimientos, controles)</w:t>
            </w:r>
          </w:p>
        </w:tc>
        <w:tc>
          <w:tcPr/>
          <w:p>
            <w:pPr>
              <w:pStyle w:val="Compact"/>
            </w:pPr>
            <w:r>
              <w:t xml:space="preserve">Sólida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Análisis de riesgos (inventario, matriz, SoA, metodología, plan de tratamiento)</w:t>
            </w:r>
          </w:p>
        </w:tc>
        <w:tc>
          <w:tcPr/>
          <w:p>
            <w:pPr>
              <w:pStyle w:val="Compact"/>
            </w:pPr>
            <w:r>
              <w:t xml:space="preserve">Completa (alcance tecnológico)</w:t>
            </w:r>
          </w:p>
        </w:tc>
        <w:tc>
          <w:tcPr/>
          <w:p>
            <w:pPr>
              <w:pStyle w:val="Compact"/>
            </w:pPr>
            <w:r>
              <w:t xml:space="preserve">~90%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Gobierno (alcance, política madre, roles, RACI)</w:t>
            </w:r>
          </w:p>
        </w:tc>
        <w:tc>
          <w:tcPr/>
          <w:p>
            <w:pPr>
              <w:pStyle w:val="Compact"/>
            </w:pPr>
            <w:r>
              <w:t xml:space="preserve">Sólida</w:t>
            </w:r>
          </w:p>
        </w:tc>
        <w:tc>
          <w:tcPr/>
          <w:p>
            <w:pPr>
              <w:pStyle w:val="Compact"/>
            </w:pPr>
            <w:r>
              <w:t xml:space="preserve">~90%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Operación del SGSI (auditoría, revisión dirección, mejora, BCP, objetivos)</w:t>
            </w:r>
          </w:p>
        </w:tc>
        <w:tc>
          <w:tcPr/>
          <w:p>
            <w:pPr>
              <w:pStyle w:val="Compact"/>
            </w:pPr>
            <w:r>
              <w:t xml:space="preserve">Incorporada al repo</w:t>
            </w:r>
          </w:p>
        </w:tc>
        <w:tc>
          <w:tcPr/>
          <w:p>
            <w:pPr>
              <w:pStyle w:val="Compact"/>
            </w:pPr>
            <w:r>
              <w:t xml:space="preserve">~90%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Laboratorio técnico (Zabbix/Wazuh/Ansible)</w:t>
            </w:r>
          </w:p>
        </w:tc>
        <w:tc>
          <w:tcPr/>
          <w:p>
            <w:pPr>
              <w:pStyle w:val="Compact"/>
            </w:pPr>
            <w:r>
              <w:t xml:space="preserve">Planificado, sin montar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Madurez global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progreso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~80%</w:t>
            </w:r>
          </w:p>
        </w:tc>
      </w:tr>
    </w:tbl>
    <w:bookmarkEnd w:id="20"/>
    <w:bookmarkStart w:id="21" w:name="lo-que-ya-está-cubierto"/>
    <w:p>
      <w:pPr>
        <w:pStyle w:val="Heading2"/>
      </w:pPr>
      <w:r>
        <w:t xml:space="preserve">2. Lo que YA está cubierto ✅</w:t>
      </w:r>
    </w:p>
    <w:p>
      <w:pPr>
        <w:pStyle w:val="Compact"/>
        <w:numPr>
          <w:ilvl w:val="0"/>
          <w:numId w:val="1001"/>
        </w:numPr>
      </w:pPr>
      <w:r>
        <w:t xml:space="preserve">15 políticas (POL-SGSI-01 a 15) y 18 procedimientos (PROC-SGSI-01 a 18).</w:t>
      </w:r>
    </w:p>
    <w:p>
      <w:pPr>
        <w:pStyle w:val="Compact"/>
        <w:numPr>
          <w:ilvl w:val="0"/>
          <w:numId w:val="1001"/>
        </w:numPr>
      </w:pPr>
      <w:r>
        <w:t xml:space="preserve">Documentos de gestión: Maestro Documental, Matriz Legal, Matriz de Competencias, Contrato + Anexo.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Gobernanza y operación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00-gobernanza/</w:t>
      </w:r>
      <w:r>
        <w:t xml:space="preserve">): Alcance (4.3), Política General (5.1), Acta CISO/Comité (5.3), Matriz RACI (5.3),</w:t>
      </w:r>
      <w:r>
        <w:t xml:space="preserve"> </w:t>
      </w:r>
      <w:r>
        <w:rPr>
          <w:b/>
          <w:bCs/>
        </w:rPr>
        <w:t xml:space="preserve">Auditoría Interna (9.2)</w:t>
      </w:r>
      <w:r>
        <w:t xml:space="preserve">,</w:t>
      </w:r>
      <w:r>
        <w:t xml:space="preserve"> </w:t>
      </w:r>
      <w:r>
        <w:rPr>
          <w:b/>
          <w:bCs/>
        </w:rPr>
        <w:t xml:space="preserve">Revisión por la Dirección (9.3)</w:t>
      </w:r>
      <w:r>
        <w:t xml:space="preserve">,</w:t>
      </w:r>
      <w:r>
        <w:t xml:space="preserve"> </w:t>
      </w:r>
      <w:r>
        <w:rPr>
          <w:b/>
          <w:bCs/>
        </w:rPr>
        <w:t xml:space="preserve">No Conformidades y Acciones Correctivas (10)</w:t>
      </w:r>
      <w:r>
        <w:t xml:space="preserve">,</w:t>
      </w:r>
      <w:r>
        <w:t xml:space="preserve"> </w:t>
      </w:r>
      <w:r>
        <w:rPr>
          <w:b/>
          <w:bCs/>
        </w:rPr>
        <w:t xml:space="preserve">BCP/DRP (5.29–5.30)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Objetivos de Seguridad medibles (6.2)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Análisis</w:t>
      </w:r>
      <w:r>
        <w:t xml:space="preserve"> </w:t>
      </w:r>
      <w:r>
        <w:t xml:space="preserve">(</w:t>
      </w:r>
      <w:r>
        <w:rPr>
          <w:rStyle w:val="VerbatimChar"/>
        </w:rPr>
        <w:t xml:space="preserve">04-analisis/</w:t>
      </w:r>
      <w:r>
        <w:t xml:space="preserve">): Inventario de Activos (15), Matriz de Riesgos (R-01 a R-17), SoA tecnológico (8.1–8.34),</w:t>
      </w:r>
      <w:r>
        <w:t xml:space="preserve"> </w:t>
      </w:r>
      <w:r>
        <w:rPr>
          <w:b/>
          <w:bCs/>
        </w:rPr>
        <w:t xml:space="preserve">Metodología de riesgos con criterios de aceptación (6.1.2)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Plan de Tratamiento de Riesgos (6.1.3)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Diagramas BPMN: 18 de procedimientos + 15 mapas de política (con fuente SVG e índice Mermaid);</w:t>
      </w:r>
      <w:r>
        <w:t xml:space="preserve"> </w:t>
      </w:r>
      <w:r>
        <w:rPr>
          <w:b/>
          <w:bCs/>
        </w:rPr>
        <w:t xml:space="preserve">repositorio de evidencias estructurado (7.5/9.1)</w:t>
      </w:r>
      <w:r>
        <w:t xml:space="preserve">; mapeo ISO actualizado (incluye 8.14/8.29/8.33).</w:t>
      </w:r>
    </w:p>
    <w:bookmarkEnd w:id="21"/>
    <w:bookmarkStart w:id="25" w:name="lo-que-falta-hoja-de-ruta"/>
    <w:p>
      <w:pPr>
        <w:pStyle w:val="Heading2"/>
      </w:pPr>
      <w:r>
        <w:t xml:space="preserve">3. Lo que FALTA ⚠️ (hoja de ruta)</w:t>
      </w:r>
    </w:p>
    <w:bookmarkStart w:id="22" w:name="resueltas-en-esta-versión"/>
    <w:p>
      <w:pPr>
        <w:pStyle w:val="Heading3"/>
      </w:pPr>
      <w:r>
        <w:t xml:space="preserve">✅ Resueltas en esta versión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Brecha</w:t>
            </w:r>
          </w:p>
        </w:tc>
        <w:tc>
          <w:tcPr/>
          <w:p>
            <w:pPr>
              <w:pStyle w:val="Compact"/>
            </w:pPr>
            <w:r>
              <w:t xml:space="preserve">Cláusula</w:t>
            </w:r>
          </w:p>
        </w:tc>
        <w:tc>
          <w:tcPr/>
          <w:p>
            <w:pPr>
              <w:pStyle w:val="Compact"/>
            </w:pPr>
            <w:r>
              <w:t xml:space="preserve">Documento que la cierra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G-3</w:t>
            </w:r>
          </w:p>
        </w:tc>
        <w:tc>
          <w:tcPr/>
          <w:p>
            <w:pPr>
              <w:pStyle w:val="Compact"/>
            </w:pPr>
            <w:r>
              <w:t xml:space="preserve">Plan de Tratamiento de Riesgos</w:t>
            </w:r>
          </w:p>
        </w:tc>
        <w:tc>
          <w:tcPr/>
          <w:p>
            <w:pPr>
              <w:pStyle w:val="Compact"/>
            </w:pPr>
            <w:r>
              <w:t xml:space="preserve">6.1.3</w:t>
            </w:r>
          </w:p>
        </w:tc>
        <w:tc>
          <w:tcPr/>
          <w:p>
            <w:pPr>
              <w:pStyle w:val="Compact"/>
            </w:pPr>
            <w:r>
              <w:t xml:space="preserve">ANR-SGSI-02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G-4</w:t>
            </w:r>
          </w:p>
        </w:tc>
        <w:tc>
          <w:tcPr/>
          <w:p>
            <w:pPr>
              <w:pStyle w:val="Compact"/>
            </w:pPr>
            <w:r>
              <w:t xml:space="preserve">Procedimiento de Auditoría Interna + programa anual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GOB-SGSI-05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G-5</w:t>
            </w:r>
          </w:p>
        </w:tc>
        <w:tc>
          <w:tcPr/>
          <w:p>
            <w:pPr>
              <w:pStyle w:val="Compact"/>
            </w:pPr>
            <w:r>
              <w:t xml:space="preserve">Procedimiento de Revisión por la Dirección</w:t>
            </w:r>
          </w:p>
        </w:tc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GOB-SGSI-06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G-6</w:t>
            </w:r>
          </w:p>
        </w:tc>
        <w:tc>
          <w:tcPr/>
          <w:p>
            <w:pPr>
              <w:pStyle w:val="Compact"/>
            </w:pPr>
            <w:r>
              <w:t xml:space="preserve">No Conformidades y Acciones Correctivas</w:t>
            </w:r>
          </w:p>
        </w:tc>
        <w:tc>
          <w:tcPr/>
          <w:p>
            <w:pPr>
              <w:pStyle w:val="Compact"/>
            </w:pPr>
            <w:r>
              <w:t xml:space="preserve">10.1, 10.2</w:t>
            </w:r>
          </w:p>
        </w:tc>
        <w:tc>
          <w:tcPr/>
          <w:p>
            <w:pPr>
              <w:pStyle w:val="Compact"/>
            </w:pPr>
            <w:r>
              <w:t xml:space="preserve">GOB-SGSI-07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G-7</w:t>
            </w:r>
          </w:p>
        </w:tc>
        <w:tc>
          <w:tcPr/>
          <w:p>
            <w:pPr>
              <w:pStyle w:val="Compact"/>
            </w:pPr>
            <w:r>
              <w:t xml:space="preserve">Plan de Continuidad del Negocio (BCP/DRP)</w:t>
            </w:r>
          </w:p>
        </w:tc>
        <w:tc>
          <w:tcPr/>
          <w:p>
            <w:pPr>
              <w:pStyle w:val="Compact"/>
            </w:pPr>
            <w:r>
              <w:t xml:space="preserve">5.29, 5.30</w:t>
            </w:r>
          </w:p>
        </w:tc>
        <w:tc>
          <w:tcPr/>
          <w:p>
            <w:pPr>
              <w:pStyle w:val="Compact"/>
            </w:pPr>
            <w:r>
              <w:t xml:space="preserve">GOB-SGSI-08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G-8</w:t>
            </w:r>
          </w:p>
        </w:tc>
        <w:tc>
          <w:tcPr/>
          <w:p>
            <w:pPr>
              <w:pStyle w:val="Compact"/>
            </w:pPr>
            <w:r>
              <w:t xml:space="preserve">Repositorio de evidencias estructurado</w:t>
            </w:r>
          </w:p>
        </w:tc>
        <w:tc>
          <w:tcPr/>
          <w:p>
            <w:pPr>
              <w:pStyle w:val="Compact"/>
            </w:pPr>
            <w:r>
              <w:t xml:space="preserve">7.5, 9.1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03-evidencias/README.md</w:t>
            </w:r>
            <w:r>
              <w:t xml:space="preserve"> </w:t>
            </w:r>
            <w:r>
              <w:t xml:space="preserve">+ carpetas e índice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G-9</w:t>
            </w:r>
          </w:p>
        </w:tc>
        <w:tc>
          <w:tcPr/>
          <w:p>
            <w:pPr>
              <w:pStyle w:val="Compact"/>
            </w:pPr>
            <w:r>
              <w:t xml:space="preserve">Escala y</w:t>
            </w:r>
            <w:r>
              <w:t xml:space="preserve"> </w:t>
            </w:r>
            <w:r>
              <w:rPr>
                <w:b/>
                <w:bCs/>
              </w:rPr>
              <w:t xml:space="preserve">criterios de aceptación del riesgo</w:t>
            </w:r>
          </w:p>
        </w:tc>
        <w:tc>
          <w:tcPr/>
          <w:p>
            <w:pPr>
              <w:pStyle w:val="Compact"/>
            </w:pPr>
            <w:r>
              <w:t xml:space="preserve">6.1.2</w:t>
            </w:r>
          </w:p>
        </w:tc>
        <w:tc>
          <w:tcPr/>
          <w:p>
            <w:pPr>
              <w:pStyle w:val="Compact"/>
            </w:pPr>
            <w:r>
              <w:t xml:space="preserve">ANR-SGSI-01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G-10</w:t>
            </w:r>
          </w:p>
        </w:tc>
        <w:tc>
          <w:tcPr/>
          <w:p>
            <w:pPr>
              <w:pStyle w:val="Compact"/>
            </w:pPr>
            <w:r>
              <w:t xml:space="preserve">Nombres de archivo .docx normalizados (tildes mal codificadas)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23 archivos renombrados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G-11</w:t>
            </w:r>
          </w:p>
        </w:tc>
        <w:tc>
          <w:tcPr/>
          <w:p>
            <w:pPr>
              <w:pStyle w:val="Compact"/>
            </w:pPr>
            <w:r>
              <w:t xml:space="preserve">Fechas de emisión unificadas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Maestro alineado a los .docx (pol/proc</w:t>
            </w:r>
            <w:r>
              <w:t xml:space="preserve"> </w:t>
            </w:r>
            <w:r>
              <w:rPr>
                <w:b/>
                <w:bCs/>
              </w:rPr>
              <w:t xml:space="preserve">22-04-2026</w:t>
            </w:r>
            <w:r>
              <w:t xml:space="preserve">; gobernanza/análisis</w:t>
            </w:r>
            <w:r>
              <w:t xml:space="preserve"> </w:t>
            </w:r>
            <w:r>
              <w:rPr>
                <w:b/>
                <w:bCs/>
              </w:rPr>
              <w:t xml:space="preserve">17-06-2026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G-12</w:t>
            </w:r>
          </w:p>
        </w:tc>
        <w:tc>
          <w:tcPr/>
          <w:p>
            <w:pPr>
              <w:pStyle w:val="Compact"/>
            </w:pPr>
            <w:r>
              <w:t xml:space="preserve">Objetivos de seguridad medibles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GOB-SGSI-09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G-13</w:t>
            </w:r>
          </w:p>
        </w:tc>
        <w:tc>
          <w:tcPr/>
          <w:p>
            <w:pPr>
              <w:pStyle w:val="Compact"/>
            </w:pPr>
            <w:r>
              <w:t xml:space="preserve">Procedimiento de Desarrollo Seguro (SDLC)</w:t>
            </w:r>
          </w:p>
        </w:tc>
        <w:tc>
          <w:tcPr/>
          <w:p>
            <w:pPr>
              <w:pStyle w:val="Compact"/>
            </w:pPr>
            <w:r>
              <w:t xml:space="preserve">8.25–8.29</w:t>
            </w:r>
          </w:p>
        </w:tc>
        <w:tc>
          <w:tcPr/>
          <w:p>
            <w:pPr>
              <w:pStyle w:val="Compact"/>
            </w:pPr>
            <w:r>
              <w:t xml:space="preserve">PROC-SGSI-15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G-14</w:t>
            </w:r>
          </w:p>
        </w:tc>
        <w:tc>
          <w:tcPr/>
          <w:p>
            <w:pPr>
              <w:pStyle w:val="Compact"/>
            </w:pPr>
            <w:r>
              <w:t xml:space="preserve">Procedimientos dedicados de malware, dispositivos y cifrado</w:t>
            </w:r>
          </w:p>
        </w:tc>
        <w:tc>
          <w:tcPr/>
          <w:p>
            <w:pPr>
              <w:pStyle w:val="Compact"/>
            </w:pPr>
            <w:r>
              <w:t xml:space="preserve">8.7 / 8.1 / 8.24</w:t>
            </w:r>
          </w:p>
        </w:tc>
        <w:tc>
          <w:tcPr/>
          <w:p>
            <w:pPr>
              <w:pStyle w:val="Compact"/>
            </w:pPr>
            <w:r>
              <w:t xml:space="preserve">PROC-SGSI-16 / 17 / 18</w:t>
            </w:r>
          </w:p>
        </w:tc>
      </w:tr>
    </w:tbl>
    <w:bookmarkEnd w:id="22"/>
    <w:bookmarkStart w:id="23" w:name="decisión-de-alcance-no-es-brecha"/>
    <w:p>
      <w:pPr>
        <w:pStyle w:val="Heading3"/>
      </w:pPr>
      <w:r>
        <w:t xml:space="preserve">◻️ Decisión de alcance (no es brecha)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Cláusula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G-1</w:t>
            </w:r>
          </w:p>
        </w:tc>
        <w:tc>
          <w:tcPr/>
          <w:p>
            <w:pPr>
              <w:pStyle w:val="Compact"/>
            </w:pPr>
            <w:r>
              <w:t xml:space="preserve">SoA cubre</w:t>
            </w:r>
            <w:r>
              <w:t xml:space="preserve"> </w:t>
            </w:r>
            <w:r>
              <w:rPr>
                <w:b/>
                <w:bCs/>
              </w:rPr>
              <w:t xml:space="preserve">solo controles Tecnológicos</w:t>
            </w:r>
            <w:r>
              <w:t xml:space="preserve"> </w:t>
            </w:r>
            <w:r>
              <w:t xml:space="preserve">(8.1–8.34)</w:t>
            </w:r>
          </w:p>
        </w:tc>
        <w:tc>
          <w:tcPr/>
          <w:p>
            <w:pPr>
              <w:pStyle w:val="Compact"/>
            </w:pPr>
            <w:r>
              <w:t xml:space="preserve">6.1.3.d</w:t>
            </w:r>
          </w:p>
        </w:tc>
        <w:tc>
          <w:tcPr/>
          <w:p>
            <w:pPr>
              <w:pStyle w:val="Compact"/>
            </w:pPr>
            <w:r>
              <w:t xml:space="preserve">Alcance deliberado de esta versión: Organizacionales (5.x), Personas (6.x) y Físicos (7.x) quedan fuera.</w:t>
            </w:r>
          </w:p>
        </w:tc>
      </w:tr>
    </w:tbl>
    <w:bookmarkEnd w:id="23"/>
    <w:bookmarkStart w:id="24" w:name="X3dde9bed7c164bba2c9db659a12161f415020e5"/>
    <w:p>
      <w:pPr>
        <w:pStyle w:val="Heading3"/>
      </w:pPr>
      <w:r>
        <w:t xml:space="preserve">⏳ Pendiente (fuera de esta entrega documental)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Brecha</w:t>
            </w:r>
          </w:p>
        </w:tc>
        <w:tc>
          <w:tcPr/>
          <w:p>
            <w:pPr>
              <w:pStyle w:val="Compact"/>
            </w:pPr>
            <w:r>
              <w:t xml:space="preserve">Cláusula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Laboratorio técnico</w:t>
            </w:r>
            <w:r>
              <w:t xml:space="preserve"> </w:t>
            </w:r>
            <w:r>
              <w:t xml:space="preserve">sin montar (Zabbix/Wazuh/Ansible)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Ejecutar plan</w:t>
            </w:r>
            <w:r>
              <w:t xml:space="preserve"> </w:t>
            </w:r>
            <w:r>
              <w:rPr>
                <w:rStyle w:val="VerbatimChar"/>
              </w:rPr>
              <w:t xml:space="preserve">05-laboratorio/</w:t>
            </w:r>
            <w:r>
              <w:t xml:space="preserve"> </w:t>
            </w:r>
            <w:r>
              <w:t xml:space="preserve">(trabajo de máquinas/VMs, fuera de este alcance)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Cobertura procedimental (revisión política↔procedimiento):</w:t>
      </w:r>
      <w:r>
        <w:t xml:space="preserve"> </w:t>
      </w:r>
      <w:r>
        <w:t xml:space="preserve">las</w:t>
      </w:r>
      <w:r>
        <w:t xml:space="preserve"> </w:t>
      </w:r>
      <w:r>
        <w:rPr>
          <w:b/>
          <w:bCs/>
        </w:rPr>
        <w:t xml:space="preserve">15 políticas tienen ahora un procedimiento dedicado</w:t>
      </w:r>
      <w:r>
        <w:t xml:space="preserve"> </w:t>
      </w:r>
      <w:r>
        <w:t xml:space="preserve">y vinculado con hipervínculo en ambos sentidos. Se agregaron</w:t>
      </w:r>
      <w:r>
        <w:t xml:space="preserve"> </w:t>
      </w:r>
      <w:r>
        <w:rPr>
          <w:b/>
          <w:bCs/>
        </w:rPr>
        <w:t xml:space="preserve">PROC-SGSI-15 (SDLC)</w:t>
      </w:r>
      <w:r>
        <w:t xml:space="preserve">,</w:t>
      </w:r>
      <w:r>
        <w:t xml:space="preserve"> </w:t>
      </w:r>
      <w:r>
        <w:rPr>
          <w:b/>
          <w:bCs/>
        </w:rPr>
        <w:t xml:space="preserve">16 (malware → POL-04)</w:t>
      </w:r>
      <w:r>
        <w:t xml:space="preserve">,</w:t>
      </w:r>
      <w:r>
        <w:t xml:space="preserve"> </w:t>
      </w:r>
      <w:r>
        <w:rPr>
          <w:b/>
          <w:bCs/>
        </w:rPr>
        <w:t xml:space="preserve">17 (dispositivos → POL-06)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18 (cifrado → POL-12)</w:t>
      </w:r>
      <w:r>
        <w:t xml:space="preserve">.</w:t>
      </w:r>
    </w:p>
    <w:bookmarkEnd w:id="24"/>
    <w:bookmarkEnd w:id="25"/>
    <w:bookmarkStart w:id="26" w:name="prioridad-restante"/>
    <w:p>
      <w:pPr>
        <w:pStyle w:val="Heading2"/>
      </w:pPr>
      <w:r>
        <w:t xml:space="preserve">4. Prioridad restante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G-2</w:t>
      </w:r>
      <w:r>
        <w:t xml:space="preserve"> </w:t>
      </w:r>
      <w:r>
        <w:t xml:space="preserve">Laboratorio técnico (Zabbix/Wazuh/Ansible) —</w:t>
      </w:r>
      <w:r>
        <w:t xml:space="preserve"> </w:t>
      </w:r>
      <w:r>
        <w:rPr>
          <w:b/>
          <w:bCs/>
        </w:rPr>
        <w:t xml:space="preserve">único pendiente</w:t>
      </w:r>
      <w:r>
        <w:t xml:space="preserve">; trabajo de infraestructura/VMs.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(Opcional, solo si se amplía el alcance)</w:t>
      </w:r>
      <w:r>
        <w:t xml:space="preserve"> </w:t>
      </w:r>
      <w:r>
        <w:t xml:space="preserve">Completar el SoA con las categorías Organizacionales, Personas y Físicas (G-1).</w:t>
      </w:r>
    </w:p>
    <w:bookmarkEnd w:id="26"/>
    <w:bookmarkStart w:id="27" w:name="trazabilidad-con-el-backlog-kanban"/>
    <w:p>
      <w:pPr>
        <w:pStyle w:val="Heading2"/>
      </w:pPr>
      <w:r>
        <w:t xml:space="preserve">5. Trazabilidad con el backlog (Kanban)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 Kanban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 Inventario de activos</w:t>
            </w:r>
          </w:p>
        </w:tc>
        <w:tc>
          <w:tcPr/>
          <w:p>
            <w:pPr>
              <w:pStyle w:val="Compact"/>
            </w:pPr>
            <w:r>
              <w:t xml:space="preserve">✅ en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 Gap Analysis</w:t>
            </w:r>
          </w:p>
        </w:tc>
        <w:tc>
          <w:tcPr/>
          <w:p>
            <w:pPr>
              <w:pStyle w:val="Compact"/>
            </w:pPr>
            <w:r>
              <w:t xml:space="preserve">✅ este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 Alcance formal</w:t>
            </w:r>
          </w:p>
        </w:tc>
        <w:tc>
          <w:tcPr/>
          <w:p>
            <w:pPr>
              <w:pStyle w:val="Compact"/>
            </w:pPr>
            <w:r>
              <w:t xml:space="preserve">✅ GOB-SGSI-01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 CISO y Comité</w:t>
            </w:r>
          </w:p>
        </w:tc>
        <w:tc>
          <w:tcPr/>
          <w:p>
            <w:pPr>
              <w:pStyle w:val="Compact"/>
            </w:pPr>
            <w:r>
              <w:t xml:space="preserve">✅ GOB-SGSI-03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T-05 Política General</w:t>
            </w:r>
          </w:p>
        </w:tc>
        <w:tc>
          <w:tcPr/>
          <w:p>
            <w:pPr>
              <w:pStyle w:val="Compact"/>
            </w:pPr>
            <w:r>
              <w:t xml:space="preserve">✅ GOB-SGSI-02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T-06 Matriz RACI</w:t>
            </w:r>
          </w:p>
        </w:tc>
        <w:tc>
          <w:tcPr/>
          <w:p>
            <w:pPr>
              <w:pStyle w:val="Compact"/>
            </w:pPr>
            <w:r>
              <w:t xml:space="preserve">✅ GOB-SGSI-04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T-07 Matriz de riesgos</w:t>
            </w:r>
          </w:p>
        </w:tc>
        <w:tc>
          <w:tcPr/>
          <w:p>
            <w:pPr>
              <w:pStyle w:val="Compact"/>
            </w:pPr>
            <w:r>
              <w:t xml:space="preserve">✅ en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T-08 Plan de tratamiento</w:t>
            </w:r>
          </w:p>
        </w:tc>
        <w:tc>
          <w:tcPr/>
          <w:p>
            <w:pPr>
              <w:pStyle w:val="Compact"/>
            </w:pPr>
            <w:r>
              <w:t xml:space="preserve">✅ ANR-SGSI-02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T-09/T-10 SoA + aprobación</w:t>
            </w:r>
          </w:p>
        </w:tc>
        <w:tc>
          <w:tcPr/>
          <w:p>
            <w:pPr>
              <w:pStyle w:val="Compact"/>
            </w:pPr>
            <w:r>
              <w:t xml:space="preserve">✅ tecnológico (alcance definido)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T-11–T-14 Operación del SGSI (auditoría, revisión, NC, BCP)</w:t>
            </w:r>
          </w:p>
        </w:tc>
        <w:tc>
          <w:tcPr/>
          <w:p>
            <w:pPr>
              <w:pStyle w:val="Compact"/>
            </w:pPr>
            <w:r>
              <w:t xml:space="preserve">✅ GOB-SGSI-05 a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Metodología + criterios de aceptación de riesgo</w:t>
            </w:r>
          </w:p>
        </w:tc>
        <w:tc>
          <w:tcPr/>
          <w:p>
            <w:pPr>
              <w:pStyle w:val="Compact"/>
            </w:pPr>
            <w:r>
              <w:t xml:space="preserve">✅ ANR-SGSI-01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Objetivos de seguridad medibles</w:t>
            </w:r>
          </w:p>
        </w:tc>
        <w:tc>
          <w:tcPr/>
          <w:p>
            <w:pPr>
              <w:pStyle w:val="Compact"/>
            </w:pPr>
            <w:r>
              <w:t xml:space="preserve">✅ GOB-SGSI-09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procedimental 15/15 (SDLC, malware, dispositivos, cifrado)</w:t>
            </w:r>
          </w:p>
        </w:tc>
        <w:tc>
          <w:tcPr/>
          <w:p>
            <w:pPr>
              <w:pStyle w:val="Compact"/>
            </w:pPr>
            <w:r>
              <w:t xml:space="preserve">✅ PROC-SGSI-15 a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T-15 a T-20 Quick wins y cultura (laboratorio)</w:t>
            </w:r>
          </w:p>
        </w:tc>
        <w:tc>
          <w:tcPr/>
          <w:p>
            <w:pPr>
              <w:pStyle w:val="Compact"/>
            </w:pPr>
            <w:r>
              <w:t xml:space="preserve">⏳ pendientes (G-2)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2026-06-18T01:28:54Z</dcterms:created>
  <dcterms:modified xsi:type="dcterms:W3CDTF">2026-06-18T01:28:54Z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