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X692d2b1413f4a3fed7f4fe36e149dfc67355c65"/>
    <w:p>
      <w:pPr>
        <w:pStyle w:val="Heading1"/>
      </w:pPr>
      <w:r>
        <w:t xml:space="preserve">Metodología de Evaluación y Tratamiento de Riesgos — NovaRetail SpA</w:t>
      </w:r>
    </w:p>
    <w:p>
      <w:pPr>
        <w:pStyle w:val="BlockText"/>
      </w:pPr>
      <w:r>
        <w:t xml:space="preserve">ISO/IEC 27001:2022 — Cláusula 6.1.2 «Evaluación de riesgos de seguridad de la información» y 6.1.3 «Tratamiento de riesgos»</w:t>
      </w:r>
      <w:r>
        <w:t xml:space="preserve"> </w:t>
      </w:r>
      <w:r>
        <w:t xml:space="preserve">NIST CSF 2.0 — Función</w:t>
      </w:r>
      <w:r>
        <w:t xml:space="preserve"> </w:t>
      </w:r>
      <w:r>
        <w:rPr>
          <w:b/>
          <w:bCs/>
        </w:rPr>
        <w:t xml:space="preserve">GOVERN (GV.RM — Risk Management Strategy)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IDENTIFY (ID.RA — Risk Assessment)</w:t>
      </w:r>
    </w:p>
    <w:bookmarkStart w:id="20" w:name="control-documental"/>
    <w:p>
      <w:pPr>
        <w:pStyle w:val="Heading2"/>
      </w:pPr>
      <w:r>
        <w:t xml:space="preserve">1. Control documental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Código</w:t>
            </w:r>
          </w:p>
        </w:tc>
        <w:tc>
          <w:tcPr/>
          <w:p>
            <w:pPr>
              <w:pStyle w:val="Compact"/>
            </w:pPr>
            <w:r>
              <w:t xml:space="preserve">ANR-SGSI-01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Versión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Fecha de emisión</w:t>
            </w:r>
          </w:p>
        </w:tc>
        <w:tc>
          <w:tcPr/>
          <w:p>
            <w:pPr>
              <w:pStyle w:val="Compact"/>
            </w:pPr>
            <w:r>
              <w:t xml:space="preserve">17-06-2026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Próxima revisión</w:t>
            </w:r>
          </w:p>
        </w:tc>
        <w:tc>
          <w:tcPr/>
          <w:p>
            <w:pPr>
              <w:pStyle w:val="Compact"/>
            </w:pPr>
            <w:r>
              <w:t xml:space="preserve">17-06-2027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Clasificación</w:t>
            </w:r>
          </w:p>
        </w:tc>
        <w:tc>
          <w:tcPr/>
          <w:p>
            <w:pPr>
              <w:pStyle w:val="Compact"/>
            </w:pPr>
            <w:r>
              <w:t xml:space="preserve">Interno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Elaborado por</w:t>
            </w:r>
          </w:p>
        </w:tc>
        <w:tc>
          <w:tcPr/>
          <w:p>
            <w:pPr>
              <w:pStyle w:val="Compact"/>
            </w:pPr>
            <w:r>
              <w:t xml:space="preserve">Equipo SGSI — Thynk Unlimited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Revisado por</w:t>
            </w:r>
          </w:p>
        </w:tc>
        <w:tc>
          <w:tcPr/>
          <w:p>
            <w:pPr>
              <w:pStyle w:val="Compact"/>
            </w:pPr>
            <w:r>
              <w:t xml:space="preserve">CISO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Aprobado por</w:t>
            </w:r>
          </w:p>
        </w:tc>
        <w:tc>
          <w:tcPr/>
          <w:p>
            <w:pPr>
              <w:pStyle w:val="Compact"/>
            </w:pPr>
            <w:r>
              <w:t xml:space="preserve">Comité SGSI</w:t>
            </w:r>
          </w:p>
        </w:tc>
      </w:tr>
    </w:tbl>
    <w:bookmarkEnd w:id="20"/>
    <w:bookmarkStart w:id="21" w:name="propósito"/>
    <w:p>
      <w:pPr>
        <w:pStyle w:val="Heading2"/>
      </w:pPr>
      <w:r>
        <w:t xml:space="preserve">2. Propósito</w:t>
      </w:r>
    </w:p>
    <w:p>
      <w:pPr>
        <w:pStyle w:val="FirstParagraph"/>
      </w:pPr>
      <w:r>
        <w:t xml:space="preserve">Definir el método consistente y repetible con que NovaRetail SpA</w:t>
      </w:r>
      <w:r>
        <w:t xml:space="preserve"> </w:t>
      </w:r>
      <w:r>
        <w:rPr>
          <w:b/>
          <w:bCs/>
        </w:rPr>
        <w:t xml:space="preserve">identifica, analiza, evalúa, trata y acepta</w:t>
      </w:r>
      <w:r>
        <w:t xml:space="preserve"> </w:t>
      </w:r>
      <w:r>
        <w:t xml:space="preserve">los riesgos de seguridad de la información, dando cumplimiento a las cláusulas 6.1.2 y 6.1.3 de ISO/IEC 27001:2022. Esta metodología es la base del</w:t>
      </w:r>
      <w:r>
        <w:t xml:space="preserve"> </w:t>
      </w:r>
      <w:r>
        <w:rPr>
          <w:b/>
          <w:bCs/>
        </w:rPr>
        <w:t xml:space="preserve">Inventario de Activos</w:t>
      </w:r>
      <w:r>
        <w:t xml:space="preserve">, la</w:t>
      </w:r>
      <w:r>
        <w:t xml:space="preserve"> </w:t>
      </w:r>
      <w:r>
        <w:rPr>
          <w:b/>
          <w:bCs/>
        </w:rPr>
        <w:t xml:space="preserve">Matriz de Evaluación de Riesgos (R-01 a R-17)</w:t>
      </w:r>
      <w:r>
        <w:t xml:space="preserve">, la</w:t>
      </w:r>
      <w:r>
        <w:t xml:space="preserve"> </w:t>
      </w:r>
      <w:r>
        <w:rPr>
          <w:b/>
          <w:bCs/>
        </w:rPr>
        <w:t xml:space="preserve">Declaración de Aplicabilidad (SoA)</w:t>
      </w:r>
      <w:r>
        <w:t xml:space="preserve"> </w:t>
      </w:r>
      <w:r>
        <w:t xml:space="preserve">y el</w:t>
      </w:r>
      <w:r>
        <w:t xml:space="preserve"> </w:t>
      </w:r>
      <w:r>
        <w:rPr>
          <w:b/>
          <w:bCs/>
        </w:rPr>
        <w:t xml:space="preserve">Plan de Tratamiento de Riesgos (ANR-SGSI-02)</w:t>
      </w:r>
      <w:r>
        <w:t xml:space="preserve">.</w:t>
      </w:r>
    </w:p>
    <w:bookmarkEnd w:id="21"/>
    <w:bookmarkStart w:id="22" w:name="alcance"/>
    <w:p>
      <w:pPr>
        <w:pStyle w:val="Heading2"/>
      </w:pPr>
      <w:r>
        <w:t xml:space="preserve">3. Alcance</w:t>
      </w:r>
    </w:p>
    <w:p>
      <w:pPr>
        <w:pStyle w:val="FirstParagraph"/>
      </w:pPr>
      <w:r>
        <w:t xml:space="preserve">Aplica a todos los activos de información dentro del alcance del SGSI (GOB-SGSI-01): procesos de venta presencial y e-commerce, procesamiento de pagos, gestión de inventario y logística, y soporte a clientes, en las sedes de Santiago y la operación regional, más los servicios en la nube.</w:t>
      </w:r>
    </w:p>
    <w:bookmarkEnd w:id="22"/>
    <w:bookmarkStart w:id="23" w:name="proceso-de-gestión-de-riesgos"/>
    <w:p>
      <w:pPr>
        <w:pStyle w:val="Heading2"/>
      </w:pPr>
      <w:r>
        <w:t xml:space="preserve">4. Proceso de gestión de riesgos</w:t>
      </w:r>
    </w:p>
    <w:p>
      <w:pPr>
        <w:pStyle w:val="SourceCode"/>
      </w:pPr>
      <w:r>
        <w:rPr>
          <w:rStyle w:val="VerbatimChar"/>
        </w:rPr>
        <w:t xml:space="preserve">1. Identificar activos        → Inventario de Activos (ACT-1..15)</w:t>
      </w:r>
      <w:r>
        <w:br/>
      </w:r>
      <w:r>
        <w:rPr>
          <w:rStyle w:val="VerbatimChar"/>
        </w:rPr>
        <w:t xml:space="preserve">2. Identificar amenazas/vuln. → por activo</w:t>
      </w:r>
      <w:r>
        <w:br/>
      </w:r>
      <w:r>
        <w:rPr>
          <w:rStyle w:val="VerbatimChar"/>
        </w:rPr>
        <w:t xml:space="preserve">3. Estimar impacto y prob.    → escala 1–5</w:t>
      </w:r>
      <w:r>
        <w:br/>
      </w:r>
      <w:r>
        <w:rPr>
          <w:rStyle w:val="VerbatimChar"/>
        </w:rPr>
        <w:t xml:space="preserve">4. Calcular nivel de riesgo   → Impacto × Probabilidad (1–25)</w:t>
      </w:r>
      <w:r>
        <w:br/>
      </w:r>
      <w:r>
        <w:rPr>
          <w:rStyle w:val="VerbatimChar"/>
        </w:rPr>
        <w:t xml:space="preserve">5. Evaluar y priorizar        → contra criterios de aceptación</w:t>
      </w:r>
      <w:r>
        <w:br/>
      </w:r>
      <w:r>
        <w:rPr>
          <w:rStyle w:val="VerbatimChar"/>
        </w:rPr>
        <w:t xml:space="preserve">6. Tratar el riesgo           → mitigar / transferir / evitar / aceptar</w:t>
      </w:r>
      <w:r>
        <w:br/>
      </w:r>
      <w:r>
        <w:rPr>
          <w:rStyle w:val="VerbatimChar"/>
        </w:rPr>
        <w:t xml:space="preserve">7. Seleccionar controles      → SoA (Anexo A)</w:t>
      </w:r>
      <w:r>
        <w:br/>
      </w:r>
      <w:r>
        <w:rPr>
          <w:rStyle w:val="VerbatimChar"/>
        </w:rPr>
        <w:t xml:space="preserve">8. Estimar riesgo residual    → reevaluar tras controles</w:t>
      </w:r>
      <w:r>
        <w:br/>
      </w:r>
      <w:r>
        <w:rPr>
          <w:rStyle w:val="VerbatimChar"/>
        </w:rPr>
        <w:t xml:space="preserve">9. Aceptar el riesgo residual → autoridad según nivel</w:t>
      </w:r>
      <w:r>
        <w:br/>
      </w:r>
      <w:r>
        <w:rPr>
          <w:rStyle w:val="VerbatimChar"/>
        </w:rPr>
        <w:t xml:space="preserve">10. Monitorear y revisar      → mínimo anual o ante cambios</w:t>
      </w:r>
    </w:p>
    <w:bookmarkEnd w:id="23"/>
    <w:bookmarkStart w:id="24" w:name="identificación-y-valoración-de-activos"/>
    <w:p>
      <w:pPr>
        <w:pStyle w:val="Heading2"/>
      </w:pPr>
      <w:r>
        <w:t xml:space="preserve">5. Identificación y valoración de activos</w:t>
      </w:r>
    </w:p>
    <w:p>
      <w:pPr>
        <w:pStyle w:val="FirstParagraph"/>
      </w:pPr>
      <w:r>
        <w:t xml:space="preserve">Cada activo se registra en el</w:t>
      </w:r>
      <w:r>
        <w:t xml:space="preserve"> </w:t>
      </w:r>
      <w:r>
        <w:rPr>
          <w:b/>
          <w:bCs/>
        </w:rPr>
        <w:t xml:space="preserve">Inventario de Activos</w:t>
      </w:r>
      <w:r>
        <w:t xml:space="preserve"> </w:t>
      </w:r>
      <w:r>
        <w:t xml:space="preserve">con: propietario, proceso asociado, ubicación,</w:t>
      </w:r>
      <w:r>
        <w:t xml:space="preserve"> </w:t>
      </w:r>
      <w:r>
        <w:rPr>
          <w:b/>
          <w:bCs/>
        </w:rPr>
        <w:t xml:space="preserve">clasificación</w:t>
      </w:r>
      <w:r>
        <w:t xml:space="preserve"> </w:t>
      </w:r>
      <w:r>
        <w:t xml:space="preserve">(Pública, Interna, Confidencial, Secreta) y</w:t>
      </w:r>
      <w:r>
        <w:t xml:space="preserve"> </w:t>
      </w:r>
      <w:r>
        <w:rPr>
          <w:b/>
          <w:bCs/>
        </w:rPr>
        <w:t xml:space="preserve">criticidad</w:t>
      </w:r>
      <w:r>
        <w:t xml:space="preserve"> </w:t>
      </w:r>
      <w:r>
        <w:t xml:space="preserve">(Baja, Media, Alta, Crítica), junto con sus amenazas, vulnerabilidades y controles actuales. La criticidad orienta la prioridad de tratamiento.</w:t>
      </w:r>
    </w:p>
    <w:bookmarkEnd w:id="24"/>
    <w:bookmarkStart w:id="25" w:name="criterios-de-impacto-15"/>
    <w:p>
      <w:pPr>
        <w:pStyle w:val="Heading2"/>
      </w:pPr>
      <w:r>
        <w:t xml:space="preserve">6. Criterios de impacto (1–5)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Valor</w:t>
            </w:r>
          </w:p>
        </w:tc>
        <w:tc>
          <w:tcPr/>
          <w:p>
            <w:pPr>
              <w:pStyle w:val="Compact"/>
            </w:pPr>
            <w:r>
              <w:t xml:space="preserve">Nivel</w:t>
            </w:r>
          </w:p>
        </w:tc>
        <w:tc>
          <w:tcPr/>
          <w:p>
            <w:pPr>
              <w:pStyle w:val="Compact"/>
            </w:pPr>
            <w:r>
              <w:t xml:space="preserve">Confidencialidad / Integridad / Disponibilidad</w:t>
            </w:r>
          </w:p>
        </w:tc>
        <w:tc>
          <w:tcPr/>
          <w:p>
            <w:pPr>
              <w:pStyle w:val="Compact"/>
            </w:pPr>
            <w:r>
              <w:t xml:space="preserve">Referencia legal / financiera / reputacional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Insignificante</w:t>
            </w:r>
          </w:p>
        </w:tc>
        <w:tc>
          <w:tcPr/>
          <w:p>
            <w:pPr>
              <w:pStyle w:val="Compact"/>
            </w:pPr>
            <w:r>
              <w:t xml:space="preserve">Sin afectación apreciable</w:t>
            </w:r>
          </w:p>
        </w:tc>
        <w:tc>
          <w:tcPr/>
          <w:p>
            <w:pPr>
              <w:pStyle w:val="Compact"/>
            </w:pPr>
            <w:r>
              <w:t xml:space="preserve">Sin impacto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Menor</w:t>
            </w:r>
          </w:p>
        </w:tc>
        <w:tc>
          <w:tcPr/>
          <w:p>
            <w:pPr>
              <w:pStyle w:val="Compact"/>
            </w:pPr>
            <w:r>
              <w:t xml:space="preserve">Afectación interna leve y recuperable</w:t>
            </w:r>
          </w:p>
        </w:tc>
        <w:tc>
          <w:tcPr/>
          <w:p>
            <w:pPr>
              <w:pStyle w:val="Compact"/>
            </w:pPr>
            <w:r>
              <w:t xml:space="preserve">Molestia operativa; sin obligación de reporte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Moderado</w:t>
            </w:r>
          </w:p>
        </w:tc>
        <w:tc>
          <w:tcPr/>
          <w:p>
            <w:pPr>
              <w:pStyle w:val="Compact"/>
            </w:pPr>
            <w:r>
              <w:t xml:space="preserve">Interrupción acotada o exposición de datos internos</w:t>
            </w:r>
          </w:p>
        </w:tc>
        <w:tc>
          <w:tcPr/>
          <w:p>
            <w:pPr>
              <w:pStyle w:val="Compact"/>
            </w:pPr>
            <w:r>
              <w:t xml:space="preserve">Reclamo de clientes; costo operativo medio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Mayor</w:t>
            </w:r>
          </w:p>
        </w:tc>
        <w:tc>
          <w:tcPr/>
          <w:p>
            <w:pPr>
              <w:pStyle w:val="Compact"/>
            </w:pPr>
            <w:r>
              <w:t xml:space="preserve">Exposición de datos personales o de pago; caída de servicio relevante</w:t>
            </w:r>
          </w:p>
        </w:tc>
        <w:tc>
          <w:tcPr/>
          <w:p>
            <w:pPr>
              <w:pStyle w:val="Compact"/>
            </w:pPr>
            <w:r>
              <w:t xml:space="preserve">Notificación a la ANCI / sanción Ley 19.628; pérdida financiera significativa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Crítico</w:t>
            </w:r>
          </w:p>
        </w:tc>
        <w:tc>
          <w:tcPr/>
          <w:p>
            <w:pPr>
              <w:pStyle w:val="Compact"/>
            </w:pPr>
            <w:r>
              <w:t xml:space="preserve">Brecha masiva de datos de clientes/tarjetas o caída prolongada del negocio</w:t>
            </w:r>
          </w:p>
        </w:tc>
        <w:tc>
          <w:tcPr/>
          <w:p>
            <w:pPr>
              <w:pStyle w:val="Compact"/>
            </w:pPr>
            <w:r>
              <w:t xml:space="preserve">Sanción mayor, daño reputacional grave, incumplimiento PCI DSS / Ley 21.663</w:t>
            </w:r>
          </w:p>
        </w:tc>
      </w:tr>
    </w:tbl>
    <w:bookmarkEnd w:id="25"/>
    <w:bookmarkStart w:id="26" w:name="criterios-de-probabilidad-15"/>
    <w:p>
      <w:pPr>
        <w:pStyle w:val="Heading2"/>
      </w:pPr>
      <w:r>
        <w:t xml:space="preserve">7. Criterios de probabilidad (1–5)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Valor</w:t>
            </w:r>
          </w:p>
        </w:tc>
        <w:tc>
          <w:tcPr/>
          <w:p>
            <w:pPr>
              <w:pStyle w:val="Compact"/>
            </w:pPr>
            <w:r>
              <w:t xml:space="preserve">Nivel</w:t>
            </w:r>
          </w:p>
        </w:tc>
        <w:tc>
          <w:tcPr/>
          <w:p>
            <w:pPr>
              <w:pStyle w:val="Compact"/>
            </w:pPr>
            <w:r>
              <w:t xml:space="preserve">Criterio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Rara</w:t>
            </w:r>
          </w:p>
        </w:tc>
        <w:tc>
          <w:tcPr/>
          <w:p>
            <w:pPr>
              <w:pStyle w:val="Compact"/>
            </w:pPr>
            <w:r>
              <w:t xml:space="preserve">Improbable; no se ha observado en el sector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Poco probable</w:t>
            </w:r>
          </w:p>
        </w:tc>
        <w:tc>
          <w:tcPr/>
          <w:p>
            <w:pPr>
              <w:pStyle w:val="Compact"/>
            </w:pPr>
            <w:r>
              <w:t xml:space="preserve">Podría ocurrir excepcionalmente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Posible</w:t>
            </w:r>
          </w:p>
        </w:tc>
        <w:tc>
          <w:tcPr/>
          <w:p>
            <w:pPr>
              <w:pStyle w:val="Compact"/>
            </w:pPr>
            <w:r>
              <w:t xml:space="preserve">Ha ocurrido en organizaciones similares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Probable</w:t>
            </w:r>
          </w:p>
        </w:tc>
        <w:tc>
          <w:tcPr/>
          <w:p>
            <w:pPr>
              <w:pStyle w:val="Compact"/>
            </w:pPr>
            <w:r>
              <w:t xml:space="preserve">Esperable en el horizonte de un año dada la exposición actual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Casi certera</w:t>
            </w:r>
          </w:p>
        </w:tc>
        <w:tc>
          <w:tcPr/>
          <w:p>
            <w:pPr>
              <w:pStyle w:val="Compact"/>
            </w:pPr>
            <w:r>
              <w:t xml:space="preserve">Ocurre o se intenta de forma recurrente</w:t>
            </w:r>
          </w:p>
        </w:tc>
      </w:tr>
    </w:tbl>
    <w:bookmarkEnd w:id="26"/>
    <w:bookmarkStart w:id="28" w:name="cálculo-y-niveles-de-riesgo"/>
    <w:p>
      <w:pPr>
        <w:pStyle w:val="Heading2"/>
      </w:pPr>
      <w:r>
        <w:t xml:space="preserve">8. Cálculo y niveles de riesgo</w:t>
      </w:r>
    </w:p>
    <w:p>
      <w:pPr>
        <w:pStyle w:val="FirstParagraph"/>
      </w:pPr>
      <w:r>
        <w:rPr>
          <w:b/>
          <w:bCs/>
        </w:rPr>
        <w:t xml:space="preserve">Nivel de riesgo = Impacto × Probabilidad</w:t>
      </w:r>
      <w:r>
        <w:t xml:space="preserve"> </w:t>
      </w:r>
      <w:r>
        <w:t xml:space="preserve">→ escala</w:t>
      </w:r>
      <w:r>
        <w:t xml:space="preserve"> </w:t>
      </w:r>
      <w:r>
        <w:rPr>
          <w:b/>
          <w:bCs/>
        </w:rPr>
        <w:t xml:space="preserve">1 a 25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Nivel</w:t>
            </w:r>
          </w:p>
        </w:tc>
        <w:tc>
          <w:tcPr/>
          <w:p>
            <w:pPr>
              <w:pStyle w:val="Compact"/>
            </w:pPr>
            <w:r>
              <w:t xml:space="preserve">Rango</w:t>
            </w:r>
          </w:p>
        </w:tc>
        <w:tc>
          <w:tcPr/>
          <w:p>
            <w:pPr>
              <w:pStyle w:val="Compact"/>
            </w:pPr>
            <w:r>
              <w:t xml:space="preserve">Color</w:t>
            </w:r>
          </w:p>
        </w:tc>
        <w:tc>
          <w:tcPr/>
          <w:p>
            <w:pPr>
              <w:pStyle w:val="Compact"/>
            </w:pPr>
            <w:r>
              <w:t xml:space="preserve">Criterio de tratamiento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Crítico</w:t>
            </w:r>
          </w:p>
        </w:tc>
        <w:tc>
          <w:tcPr/>
          <w:p>
            <w:pPr>
              <w:pStyle w:val="Compact"/>
            </w:pPr>
            <w:r>
              <w:t xml:space="preserve">≥ 15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Tratamiento inmediato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Alto</w:t>
            </w:r>
          </w:p>
        </w:tc>
        <w:tc>
          <w:tcPr/>
          <w:p>
            <w:pPr>
              <w:pStyle w:val="Compact"/>
            </w:pPr>
            <w:r>
              <w:t xml:space="preserve">10–14</w:t>
            </w:r>
          </w:p>
        </w:tc>
        <w:tc>
          <w:tcPr/>
          <w:p>
            <w:pPr>
              <w:pStyle w:val="Compact"/>
            </w:pPr>
            <w:r>
              <w:t xml:space="preserve">🟠</w:t>
            </w:r>
          </w:p>
        </w:tc>
        <w:tc>
          <w:tcPr/>
          <w:p>
            <w:pPr>
              <w:pStyle w:val="Compact"/>
            </w:pPr>
            <w:r>
              <w:t xml:space="preserve">Tratamiento planificado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Moderado</w:t>
            </w:r>
          </w:p>
        </w:tc>
        <w:tc>
          <w:tcPr/>
          <w:p>
            <w:pPr>
              <w:pStyle w:val="Compact"/>
            </w:pPr>
            <w:r>
              <w:t xml:space="preserve">5–9</w:t>
            </w:r>
          </w:p>
        </w:tc>
        <w:tc>
          <w:tcPr/>
          <w:p>
            <w:pPr>
              <w:pStyle w:val="Compact"/>
            </w:pPr>
            <w:r>
              <w:t xml:space="preserve">🟢</w:t>
            </w:r>
          </w:p>
        </w:tc>
        <w:tc>
          <w:tcPr/>
          <w:p>
            <w:pPr>
              <w:pStyle w:val="Compact"/>
            </w:pPr>
            <w:r>
              <w:t xml:space="preserve">Tratamiento o aceptación con justificación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Bajo</w:t>
            </w:r>
          </w:p>
        </w:tc>
        <w:tc>
          <w:tcPr/>
          <w:p>
            <w:pPr>
              <w:pStyle w:val="Compact"/>
            </w:pPr>
            <w:r>
              <w:t xml:space="preserve">1–4</w:t>
            </w:r>
          </w:p>
        </w:tc>
        <w:tc>
          <w:tcPr/>
          <w:p>
            <w:pPr>
              <w:pStyle w:val="Compact"/>
            </w:pPr>
            <w:r>
              <w:t xml:space="preserve">🟢</w:t>
            </w:r>
          </w:p>
        </w:tc>
        <w:tc>
          <w:tcPr/>
          <w:p>
            <w:pPr>
              <w:pStyle w:val="Compact"/>
            </w:pPr>
            <w:r>
              <w:t xml:space="preserve">Monitoreo / aceptación</w:t>
            </w:r>
          </w:p>
        </w:tc>
      </w:tr>
    </w:tbl>
    <w:bookmarkStart w:id="27" w:name="mapa-de-calor-55"/>
    <w:p>
      <w:pPr>
        <w:pStyle w:val="Heading3"/>
      </w:pPr>
      <w:r>
        <w:t xml:space="preserve">Mapa de calor (5×5)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  I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</w:tbl>
    <w:bookmarkEnd w:id="27"/>
    <w:bookmarkEnd w:id="28"/>
    <w:bookmarkStart w:id="29" w:name="opciones-de-tratamiento-cl.-6.1.3"/>
    <w:p>
      <w:pPr>
        <w:pStyle w:val="Heading2"/>
      </w:pPr>
      <w:r>
        <w:t xml:space="preserve">9. Opciones de tratamiento (cl. 6.1.3)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Opción</w:t>
            </w:r>
          </w:p>
        </w:tc>
        <w:tc>
          <w:tcPr/>
          <w:p>
            <w:pPr>
              <w:pStyle w:val="Compact"/>
            </w:pPr>
            <w:r>
              <w:t xml:space="preserve">Cuándo se aplica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Mitigar</w:t>
            </w:r>
          </w:p>
        </w:tc>
        <w:tc>
          <w:tcPr/>
          <w:p>
            <w:pPr>
              <w:pStyle w:val="Compact"/>
            </w:pPr>
            <w:r>
              <w:t xml:space="preserve">Reducir el riesgo mediante controles del Anexo A (opción por defecto).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Transferir</w:t>
            </w:r>
          </w:p>
        </w:tc>
        <w:tc>
          <w:tcPr/>
          <w:p>
            <w:pPr>
              <w:pStyle w:val="Compact"/>
            </w:pPr>
            <w:r>
              <w:t xml:space="preserve">Trasladar parte del riesgo a un tercero (seguro, proveedor, pasarela de pago).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Evitar</w:t>
            </w:r>
          </w:p>
        </w:tc>
        <w:tc>
          <w:tcPr/>
          <w:p>
            <w:pPr>
              <w:pStyle w:val="Compact"/>
            </w:pPr>
            <w:r>
              <w:t xml:space="preserve">Eliminar la actividad o el activo que origina el riesgo.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Aceptar</w:t>
            </w:r>
          </w:p>
        </w:tc>
        <w:tc>
          <w:tcPr/>
          <w:p>
            <w:pPr>
              <w:pStyle w:val="Compact"/>
            </w:pPr>
            <w:r>
              <w:t xml:space="preserve">Asumir el riesgo de forma consciente cuando está dentro de los criterios de aceptación.</w:t>
            </w:r>
          </w:p>
        </w:tc>
      </w:tr>
    </w:tbl>
    <w:p>
      <w:pPr>
        <w:pStyle w:val="BodyText"/>
      </w:pPr>
      <w:r>
        <w:t xml:space="preserve">Los controles seleccionados para mitigar se registran en la</w:t>
      </w:r>
      <w:r>
        <w:t xml:space="preserve"> </w:t>
      </w:r>
      <w:r>
        <w:rPr>
          <w:b/>
          <w:bCs/>
        </w:rPr>
        <w:t xml:space="preserve">Declaración de Aplicabilidad (SoA)</w:t>
      </w:r>
      <w:r>
        <w:t xml:space="preserve">, con su justificación de aplicabilidad o exclusión (cl. 6.1.3.d).</w:t>
      </w:r>
    </w:p>
    <w:bookmarkEnd w:id="29"/>
    <w:bookmarkStart w:id="30" w:name="X1012218a1103b36f4fe4e4e6d252adb5200537d"/>
    <w:p>
      <w:pPr>
        <w:pStyle w:val="Heading2"/>
      </w:pPr>
      <w:r>
        <w:t xml:space="preserve">10. Criterios de aceptación del riesgo (cl. 6.1.2.a)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Nivel residual</w:t>
            </w:r>
          </w:p>
        </w:tc>
        <w:tc>
          <w:tcPr/>
          <w:p>
            <w:pPr>
              <w:pStyle w:val="Compact"/>
            </w:pPr>
            <w:r>
              <w:t xml:space="preserve">¿Aceptable?</w:t>
            </w:r>
          </w:p>
        </w:tc>
        <w:tc>
          <w:tcPr/>
          <w:p>
            <w:pPr>
              <w:pStyle w:val="Compact"/>
            </w:pPr>
            <w:r>
              <w:t xml:space="preserve">Autoridad que aprueba la aceptación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Crítico (≥ 15)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Debe reducirse; la aceptación excepcional la aprueba la</w:t>
            </w:r>
            <w:r>
              <w:t xml:space="preserve"> </w:t>
            </w:r>
            <w:r>
              <w:rPr>
                <w:b/>
                <w:bCs/>
              </w:rPr>
              <w:t xml:space="preserve">Gerencia General</w:t>
            </w:r>
            <w:r>
              <w:t xml:space="preserve"> </w:t>
            </w:r>
            <w:r>
              <w:t xml:space="preserve">por escrito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Alto (10–14)</w:t>
            </w:r>
          </w:p>
        </w:tc>
        <w:tc>
          <w:tcPr/>
          <w:p>
            <w:pPr>
              <w:pStyle w:val="Compact"/>
            </w:pPr>
            <w:r>
              <w:t xml:space="preserve">Solo excepcional y temporal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Gerencia General</w:t>
            </w:r>
            <w:r>
              <w:t xml:space="preserve"> </w:t>
            </w:r>
            <w:r>
              <w:t xml:space="preserve">(a propuesta del CISO)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Moderado (5–9)</w:t>
            </w:r>
          </w:p>
        </w:tc>
        <w:tc>
          <w:tcPr/>
          <w:p>
            <w:pPr>
              <w:pStyle w:val="Compact"/>
            </w:pPr>
            <w:r>
              <w:t xml:space="preserve">Sí, con justificación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CISO</w:t>
            </w:r>
            <w:r>
              <w:t xml:space="preserve"> </w:t>
            </w:r>
            <w:r>
              <w:t xml:space="preserve">/ dueño del activo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Bajo (1–4)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Dueño del activo</w:t>
            </w:r>
            <w:r>
              <w:t xml:space="preserve">; monitoreo periódico</w:t>
            </w:r>
          </w:p>
        </w:tc>
      </w:tr>
    </w:tbl>
    <w:p>
      <w:pPr>
        <w:pStyle w:val="Compact"/>
        <w:numPr>
          <w:ilvl w:val="0"/>
          <w:numId w:val="1001"/>
        </w:numPr>
      </w:pPr>
      <w:r>
        <w:t xml:space="preserve">El objetivo de tratamiento es llevar todo riesgo</w:t>
      </w:r>
      <w:r>
        <w:t xml:space="preserve"> </w:t>
      </w:r>
      <w:r>
        <w:rPr>
          <w:b/>
          <w:bCs/>
        </w:rPr>
        <w:t xml:space="preserve">Crítico</w:t>
      </w:r>
      <w:r>
        <w:t xml:space="preserve"> </w:t>
      </w:r>
      <w:r>
        <w:t xml:space="preserve">a nivel</w:t>
      </w:r>
      <w:r>
        <w:t xml:space="preserve"> </w:t>
      </w:r>
      <w:r>
        <w:rPr>
          <w:b/>
          <w:bCs/>
        </w:rPr>
        <w:t xml:space="preserve">Alto o inferior</w:t>
      </w:r>
      <w:r>
        <w:t xml:space="preserve">, y todo</w:t>
      </w:r>
      <w:r>
        <w:t xml:space="preserve"> </w:t>
      </w:r>
      <w:r>
        <w:rPr>
          <w:b/>
          <w:bCs/>
        </w:rPr>
        <w:t xml:space="preserve">Alto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Moderado o inferior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Toda aceptación de riesgo residual queda registrada (responsable, fecha y fundamento) como evidencia (</w:t>
      </w:r>
      <w:r>
        <w:rPr>
          <w:rStyle w:val="VerbatimChar"/>
        </w:rPr>
        <w:t xml:space="preserve">03-evidencias/</w:t>
      </w:r>
      <w:r>
        <w:t xml:space="preserve">).</w:t>
      </w:r>
    </w:p>
    <w:bookmarkEnd w:id="30"/>
    <w:bookmarkStart w:id="31" w:name="roles-según-matriz-raci-gob-sgsi-04"/>
    <w:p>
      <w:pPr>
        <w:pStyle w:val="Heading2"/>
      </w:pPr>
      <w:r>
        <w:t xml:space="preserve">11. Roles (según Matriz RACI — GOB-SGSI-04)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Gerencia General</w:t>
      </w:r>
      <w:r>
        <w:t xml:space="preserve">: aprueba la metodología y los criterios; acepta los riesgos residuales Crítico/Alto (Accountable).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CISO</w:t>
      </w:r>
      <w:r>
        <w:t xml:space="preserve">: ejecuta y mantiene la evaluación de riesgos, propone tratamientos y el SoA (Responsable).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Comité SGSI</w:t>
      </w:r>
      <w:r>
        <w:t xml:space="preserve">: revisa y prioriza.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Dueños de activos / Jefaturas</w:t>
      </w:r>
      <w:r>
        <w:t xml:space="preserve">: aportan información y ejecutan los tratamientos en su ámbito.</w:t>
      </w:r>
    </w:p>
    <w:bookmarkEnd w:id="31"/>
    <w:bookmarkStart w:id="32" w:name="frecuencia-de-revisión"/>
    <w:p>
      <w:pPr>
        <w:pStyle w:val="Heading2"/>
      </w:pPr>
      <w:r>
        <w:t xml:space="preserve">12. Frecuencia de revisión</w:t>
      </w:r>
    </w:p>
    <w:p>
      <w:pPr>
        <w:pStyle w:val="FirstParagraph"/>
      </w:pPr>
      <w:r>
        <w:t xml:space="preserve">La evaluación de riesgos se revisa</w:t>
      </w:r>
      <w:r>
        <w:t xml:space="preserve"> </w:t>
      </w:r>
      <w:r>
        <w:rPr>
          <w:b/>
          <w:bCs/>
        </w:rPr>
        <w:t xml:space="preserve">al menos una vez al año</w:t>
      </w:r>
      <w:r>
        <w:t xml:space="preserve"> </w:t>
      </w:r>
      <w:r>
        <w:t xml:space="preserve">y ante cambios significativos (nuevos sistemas o procesos, incidentes relevantes, cambios regulatorios o de alcance). Los resultados alimentan la</w:t>
      </w:r>
      <w:r>
        <w:t xml:space="preserve"> </w:t>
      </w:r>
      <w:r>
        <w:rPr>
          <w:b/>
          <w:bCs/>
        </w:rPr>
        <w:t xml:space="preserve">Revisión por la Dirección (GOB-SGSI-06)</w:t>
      </w:r>
      <w:r>
        <w:t xml:space="preserve">.</w:t>
      </w:r>
    </w:p>
    <w:bookmarkEnd w:id="32"/>
    <w:bookmarkStart w:id="33" w:name="documentos-relacionados"/>
    <w:p>
      <w:pPr>
        <w:pStyle w:val="Heading2"/>
      </w:pPr>
      <w:r>
        <w:t xml:space="preserve">13. Documentos relacionados</w:t>
      </w:r>
    </w:p>
    <w:p>
      <w:pPr>
        <w:pStyle w:val="Compact"/>
        <w:numPr>
          <w:ilvl w:val="0"/>
          <w:numId w:val="1003"/>
        </w:numPr>
      </w:pPr>
      <w:r>
        <w:t xml:space="preserve">Inventario de Activos, Matriz de Evaluación de Riesgos y SoA (</w:t>
      </w:r>
      <w:r>
        <w:rPr>
          <w:rStyle w:val="VerbatimChar"/>
        </w:rPr>
        <w:t xml:space="preserve">04-analisis/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t xml:space="preserve">Plan de Tratamiento de Riesgos (ANR-SGSI-02)</w:t>
      </w:r>
    </w:p>
    <w:p>
      <w:pPr>
        <w:pStyle w:val="Compact"/>
        <w:numPr>
          <w:ilvl w:val="0"/>
          <w:numId w:val="1003"/>
        </w:numPr>
      </w:pPr>
      <w:r>
        <w:t xml:space="preserve">Política General de Seguridad (GOB-SGSI-02) · Objetivos de Seguridad (GOB-SGSI-09)</w:t>
      </w:r>
    </w:p>
    <w:bookmarkEnd w:id="33"/>
    <w:bookmarkStart w:id="34" w:name="control-de-cambios"/>
    <w:p>
      <w:pPr>
        <w:pStyle w:val="Heading2"/>
      </w:pPr>
      <w:r>
        <w:t xml:space="preserve">14. Control de cambios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Versión</w:t>
            </w:r>
          </w:p>
        </w:tc>
        <w:tc>
          <w:tcPr/>
          <w:p>
            <w:pPr>
              <w:pStyle w:val="Compact"/>
            </w:pPr>
            <w:r>
              <w:t xml:space="preserve">Fecha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17-06-2026</w:t>
            </w:r>
          </w:p>
        </w:tc>
        <w:tc>
          <w:tcPr/>
          <w:p>
            <w:pPr>
              <w:pStyle w:val="Compact"/>
            </w:pPr>
            <w:r>
              <w:t xml:space="preserve">Emisión inicial: formaliza la metodología implícita en el SoA y los criterios de aceptación del riesgo.</w:t>
            </w:r>
          </w:p>
        </w:tc>
      </w:tr>
    </w:tbl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2026-06-18T01:28:54Z</dcterms:created>
  <dcterms:modified xsi:type="dcterms:W3CDTF">2026-06-18T01:28:54Z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