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74531052" w:rsidRDefault="002F26C2" w14:paraId="4436A3E5" wp14:textId="4BCD6797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48"/>
          <w:szCs w:val="48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48"/>
          <w:szCs w:val="48"/>
          <w:lang w:val="es-MX"/>
        </w:rPr>
        <w:t>POLÍTICAS DE SEGURIDAD</w:t>
      </w:r>
    </w:p>
    <w:p xmlns:wp14="http://schemas.microsoft.com/office/word/2010/wordml" w:rsidR="002F26C2" w:rsidP="74531052" w:rsidRDefault="002F26C2" w14:paraId="21038E25" wp14:textId="5E6DD66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32"/>
          <w:szCs w:val="32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2"/>
          <w:szCs w:val="32"/>
          <w:lang w:val="es-MX"/>
        </w:rPr>
        <w:t>DEL SISTEMA DE GESTIÓN DE SEGURIDAD DE LA INFORMACIÓN</w:t>
      </w:r>
    </w:p>
    <w:p xmlns:wp14="http://schemas.microsoft.com/office/word/2010/wordml" w:rsidR="002F26C2" w:rsidP="74531052" w:rsidRDefault="002F26C2" w14:paraId="0B5BBABC" wp14:textId="3B5E1F23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15FAF131" wp14:textId="5C0AE8F1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sz w:val="40"/>
          <w:szCs w:val="40"/>
          <w:lang w:val="en-US"/>
        </w:rPr>
        <w:t>NovaRetail SpA</w:t>
      </w:r>
    </w:p>
    <w:p xmlns:wp14="http://schemas.microsoft.com/office/word/2010/wordml" w:rsidR="002F26C2" w:rsidP="74531052" w:rsidRDefault="002F26C2" w14:paraId="369EF8F6" wp14:textId="495E302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3993E956" wp14:textId="2115D48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23C3E2B0" wp14:textId="722BC325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Actividad práctica - Gobernanza e Implementación de un SGSI</w:t>
      </w:r>
    </w:p>
    <w:p xmlns:wp14="http://schemas.microsoft.com/office/word/2010/wordml" w:rsidR="002F26C2" w:rsidP="74531052" w:rsidRDefault="002F26C2" w14:paraId="689ACE0F" wp14:textId="7B4359A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Asignatura: Gestión de la Ciberseguridad</w:t>
      </w:r>
    </w:p>
    <w:p xmlns:wp14="http://schemas.microsoft.com/office/word/2010/wordml" w:rsidR="002F26C2" w:rsidP="74531052" w:rsidRDefault="002F26C2" w14:paraId="74E2FF8B" wp14:textId="1B482E00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E494F14" wp14:textId="25FE708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67DF2783" wp14:textId="454D105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26"/>
          <w:szCs w:val="26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6"/>
          <w:szCs w:val="26"/>
          <w:lang w:val="en-US"/>
        </w:rPr>
        <w:t>Integrantes del grupo</w:t>
      </w:r>
    </w:p>
    <w:p xmlns:wp14="http://schemas.microsoft.com/office/word/2010/wordml" w:rsidR="002F26C2" w:rsidP="74531052" w:rsidRDefault="002F26C2" w14:paraId="37A7A606" wp14:textId="33EDC0A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Sergio Cubelli</w:t>
      </w:r>
    </w:p>
    <w:p xmlns:wp14="http://schemas.microsoft.com/office/word/2010/wordml" w:rsidR="002F26C2" w:rsidP="74531052" w:rsidRDefault="002F26C2" w14:paraId="68F59574" wp14:textId="0266493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Savka Carvajal</w:t>
      </w:r>
    </w:p>
    <w:p xmlns:wp14="http://schemas.microsoft.com/office/word/2010/wordml" w:rsidR="002F26C2" w:rsidP="74531052" w:rsidRDefault="002F26C2" w14:paraId="0F790CDB" wp14:textId="6BADA76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Joaquín Zambra</w:t>
      </w:r>
    </w:p>
    <w:p xmlns:wp14="http://schemas.microsoft.com/office/word/2010/wordml" w:rsidR="002F26C2" w:rsidP="74531052" w:rsidRDefault="002F26C2" w14:paraId="41B8D487" wp14:textId="13AD049C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Alejandro Tapia</w:t>
      </w:r>
    </w:p>
    <w:p xmlns:wp14="http://schemas.microsoft.com/office/word/2010/wordml" w:rsidR="002F26C2" w:rsidP="74531052" w:rsidRDefault="002F26C2" w14:paraId="4B4E5CF8" wp14:textId="038A5BE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Filippo Moreno</w:t>
      </w:r>
    </w:p>
    <w:p xmlns:wp14="http://schemas.microsoft.com/office/word/2010/wordml" w:rsidR="002F26C2" w:rsidP="74531052" w:rsidRDefault="002F26C2" w14:paraId="367A758C" wp14:textId="0D53EAE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4EAFE163" wp14:textId="7D22F2B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DF1C476" wp14:textId="2E9D2C1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085"/>
      </w:tblGrid>
      <w:tr w:rsidR="74531052" w:rsidTr="74531052" w14:paraId="3E7268CD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2E33E33" w14:textId="78F295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 del conjunto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B0354FC" w14:textId="2D6C38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POL-SGSI-01 a POL-SGSI-15</w:t>
            </w:r>
          </w:p>
        </w:tc>
      </w:tr>
      <w:tr w:rsidR="74531052" w:rsidTr="74531052" w14:paraId="04F2D6C3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C7F0B28" w14:textId="44612A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3C7C7F5" w14:textId="0BECA3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</w:tr>
      <w:tr w:rsidR="74531052" w:rsidTr="74531052" w14:paraId="5B5BE074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21489FD5" w14:textId="483A13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57E4F8FF" w14:textId="25A931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74531052" w:rsidTr="74531052" w14:paraId="3AE67107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6A96D5D" w14:textId="6121C8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Estado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2B8919E" w14:textId="64CB9B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Aprobado</w:t>
            </w:r>
          </w:p>
        </w:tc>
      </w:tr>
      <w:tr w:rsidR="74531052" w:rsidTr="74531052" w14:paraId="1E40B64B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4E55BE6" w14:textId="5CD9012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9847414" w14:textId="41AA60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</w:tbl>
    <w:p xmlns:wp14="http://schemas.microsoft.com/office/word/2010/wordml" w:rsidR="002F26C2" w:rsidRDefault="002F26C2" w14:paraId="672A6659" wp14:textId="57160358"/>
    <w:p w:rsidR="74531052" w:rsidRDefault="74531052" w14:paraId="49BD9531" w14:textId="22D566FA"/>
    <w:p w:rsidR="76EADE4F" w:rsidP="74531052" w:rsidRDefault="76EADE4F" w14:paraId="5CD7182C" w14:textId="4C5575CD">
      <w:pPr>
        <w:spacing w:before="280" w:after="20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0"/>
          <w:szCs w:val="30"/>
          <w:lang w:val="es-MX"/>
        </w:rPr>
      </w:pPr>
      <w:r w:rsidRPr="74531052" w:rsidR="76EADE4F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0"/>
          <w:szCs w:val="30"/>
          <w:lang w:val="en-US"/>
        </w:rPr>
        <w:t>POL-SGSI-04 — Política de protección contra malware</w:t>
      </w:r>
    </w:p>
    <w:p w:rsidR="76EADE4F" w:rsidP="74531052" w:rsidRDefault="76EADE4F" w14:paraId="67371D1E" w14:textId="5BA0AD24">
      <w:pPr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color w:val="555555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1"/>
          <w:iCs w:val="1"/>
          <w:noProof w:val="0"/>
          <w:color w:val="555555"/>
          <w:sz w:val="22"/>
          <w:szCs w:val="22"/>
          <w:lang w:val="en-US"/>
        </w:rPr>
        <w:t>Política de seguridad del SGSI de NovaRetail SpA.</w:t>
      </w:r>
    </w:p>
    <w:p w:rsidR="74531052" w:rsidP="74531052" w:rsidRDefault="74531052" w14:paraId="5ABE0964" w14:textId="5010AB26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76EADE4F" w:rsidP="74531052" w:rsidRDefault="76EADE4F" w14:paraId="0EA6C4C0" w14:textId="3AD95352">
      <w:pPr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74531052" w:rsidR="76EADE4F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  <w:t>1. Control documental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4531052" w:rsidTr="74531052" w14:paraId="42B38425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9361FB2" w14:textId="5C3A45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0E78FED9" w14:textId="74B1D3D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POL-SGSI-04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FDBB3ED" w14:textId="4EE1B81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697E37E" w14:textId="045A30C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74531052" w:rsidTr="74531052" w14:paraId="47716EC9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07EF5B6E" w14:textId="374E4E6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71D4842" w14:textId="236A9C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9C85B11" w14:textId="3D1389C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2B2FD8FD" w14:textId="02285AC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  <w:tr w:rsidR="74531052" w:rsidTr="74531052" w14:paraId="70B16558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FF9CA11" w14:textId="78A549C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CECAF1E" w14:textId="5E80F9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01A41E8A" w14:textId="63AA57C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Revisado por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6F348DA" w14:textId="2FE0F7A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CISO</w:t>
            </w:r>
          </w:p>
        </w:tc>
      </w:tr>
      <w:tr w:rsidR="74531052" w:rsidTr="74531052" w14:paraId="6035A80C">
        <w:trPr>
          <w:trHeight w:val="300"/>
        </w:trPr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01F4BFE9" w14:textId="1218B4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Aprobado por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D341967" w14:textId="6DE20AC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Gerencia General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620BCD0" w14:textId="041274A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Próxima revisión</w:t>
            </w:r>
          </w:p>
        </w:tc>
        <w:tc>
          <w:tcPr>
            <w:tcW w:w="234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0C1C2C3E" w14:textId="6D264A9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22-04-2027</w:t>
            </w:r>
          </w:p>
        </w:tc>
      </w:tr>
    </w:tbl>
    <w:p w:rsidR="74531052" w:rsidP="74531052" w:rsidRDefault="74531052" w14:paraId="2F2EA941" w14:textId="70DD3775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w:rsidR="76EADE4F" w:rsidP="74531052" w:rsidRDefault="76EADE4F" w14:paraId="5E57545C" w14:textId="73E1B66F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74531052" w:rsidR="76EADE4F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2. Objetivo</w:t>
      </w:r>
    </w:p>
    <w:p w:rsidR="76EADE4F" w:rsidP="74531052" w:rsidRDefault="76EADE4F" w14:paraId="1796FDEF" w14:textId="3C7FF7F0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Establecer las medidas preventivas, detectivas y correctivas para proteger los sistemas, endpoints y servicios de NovaRetail SpA frente a software malicioso (malware), incluyendo ransomware, troyanos y programas no autorizados.</w:t>
      </w:r>
    </w:p>
    <w:p w:rsidR="76EADE4F" w:rsidP="74531052" w:rsidRDefault="76EADE4F" w14:paraId="0094DA74" w14:textId="414875E3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74531052" w:rsidR="76EADE4F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3. Alcance</w:t>
      </w:r>
    </w:p>
    <w:p w:rsidR="76EADE4F" w:rsidP="74531052" w:rsidRDefault="76EADE4F" w14:paraId="2E66D2D5" w14:textId="7F3453A1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Aplica a servidores, estaciones de trabajo de oficinas y bodega, dispositivos móviles corporativos y correo electrónico. Incluye también a terceros con equipos que se conecten a la red interna.</w:t>
      </w:r>
    </w:p>
    <w:p w:rsidR="76EADE4F" w:rsidP="74531052" w:rsidRDefault="76EADE4F" w14:paraId="6C032829" w14:textId="1EFB8268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74531052" w:rsidR="76EADE4F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4. Roles y responsabilidades</w:t>
      </w:r>
    </w:p>
    <w:p w:rsidR="76EADE4F" w:rsidP="74531052" w:rsidRDefault="76EADE4F" w14:paraId="6A2F20F1" w14:textId="2EA9DB7D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El CISO define el estándar de protección. La Gerencia TI opera la herramienta EDR, revisa alertas y coordina respuesta. Los usuarios reportan de inmediato cualquier alerta o comportamiento anómalo. Las jefaturas aseguran la adopción de medidas preventivas en sus áreas.</w:t>
      </w:r>
    </w:p>
    <w:p w:rsidR="76EADE4F" w:rsidP="74531052" w:rsidRDefault="76EADE4F" w14:paraId="765B9AE4" w14:textId="6C44FBED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74531052" w:rsidR="76EADE4F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5. Lineamientos de la política</w:t>
      </w:r>
    </w:p>
    <w:p w:rsidR="76EADE4F" w:rsidP="74531052" w:rsidRDefault="76EADE4F" w14:paraId="4983B652" w14:textId="5FC79A8C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Todos los endpoints y servidores deben contar con solución EDR corporativa activa y actualizada; el antivirus tradicional no es suficiente como única protección.</w:t>
      </w:r>
    </w:p>
    <w:p w:rsidR="76EADE4F" w:rsidP="74531052" w:rsidRDefault="76EADE4F" w14:paraId="3CA5A947" w14:textId="2AE99398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Las firmas y motores de detección deben actualizarse automáticamente; se prohíbe la desactivación del EDR por parte de usuarios finales.</w:t>
      </w:r>
    </w:p>
    <w:p w:rsidR="76EADE4F" w:rsidP="74531052" w:rsidRDefault="76EADE4F" w14:paraId="2964475F" w14:textId="5F142513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Se ejecutarán escaneos completos programados al menos una vez al mes en endpoints y servidores.</w:t>
      </w:r>
    </w:p>
    <w:p w:rsidR="76EADE4F" w:rsidP="74531052" w:rsidRDefault="76EADE4F" w14:paraId="1A5C8991" w14:textId="24ADC79A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El correo corporativo debe contar con filtrado anti-malware y sandbox de adjuntos y enlaces.</w:t>
      </w:r>
    </w:p>
    <w:p w:rsidR="76EADE4F" w:rsidP="74531052" w:rsidRDefault="76EADE4F" w14:paraId="25FFB28B" w14:textId="6E25D990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Ante una alerta crítica, el equipo afectado debe aislarse de la red en un plazo máximo de una hora mientras se investiga.</w:t>
      </w:r>
    </w:p>
    <w:p w:rsidR="76EADE4F" w:rsidP="74531052" w:rsidRDefault="76EADE4F" w14:paraId="16BB94B8" w14:textId="4F6327A0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Queda prohibida la instalación de software no autorizado o de fuentes no confiables en equipos corporativos.</w:t>
      </w:r>
    </w:p>
    <w:p w:rsidR="76EADE4F" w:rsidP="74531052" w:rsidRDefault="76EADE4F" w14:paraId="40858C13" w14:textId="598ACA60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Las alertas del EDR se centralizan en el canal de gestión de incidentes; se conservan por al menos 12 meses para análisis.</w:t>
      </w:r>
    </w:p>
    <w:p w:rsidR="76EADE4F" w:rsidP="74531052" w:rsidRDefault="76EADE4F" w14:paraId="49B1CBF2" w14:textId="0769F178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74531052" w:rsidR="76EADE4F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6. Incumplimientos</w:t>
      </w:r>
    </w:p>
    <w:p w:rsidR="76EADE4F" w:rsidP="74531052" w:rsidRDefault="76EADE4F" w14:paraId="3B6A3CC7" w14:textId="24C400D3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 w:rsidR="76EADE4F" w:rsidP="74531052" w:rsidRDefault="76EADE4F" w14:paraId="177AB056" w14:textId="37FA746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74531052" w:rsidR="76EADE4F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7. Documentos relacionados</w:t>
      </w:r>
    </w:p>
    <w:p>
      <w:r>
        <w:rPr>
          <w:b/>
        </w:rPr>
        <w:t xml:space="preserve">Procedimiento(s) vinculado(s): </w:t>
      </w:r>
      <w:hyperlink r:id="rIdLnkB1" w:history="1">
        <w:r>
          <w:rPr>
            <w:color w:val="0563C1"/>
            <w:u w:val="single"/>
          </w:rPr>
          <w:t xml:space="preserve">PROC-SGSI-16 — Procedimiento de respuesta ante malware</w:t>
        </w:r>
      </w:hyperlink>
    </w:p>
    <w:p w:rsidR="76EADE4F" w:rsidP="74531052" w:rsidRDefault="76EADE4F" w14:paraId="2B06BA13" w14:textId="1E7C4F0F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531052" w:rsidR="76EADE4F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n-US"/>
        </w:rPr>
        <w:t>SoA – control 8.7; Matriz de riesgos (R-02, R-04, R-06, R-11); Procedimiento de gestión de incidentes; Política de uso seguro de dispositivos (POL-SGSI-06).</w:t>
      </w:r>
    </w:p>
    <w:p w:rsidR="76EADE4F" w:rsidP="74531052" w:rsidRDefault="76EADE4F" w14:paraId="2563466D" w14:textId="43F96BAB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s-MX"/>
        </w:rPr>
      </w:pPr>
      <w:r w:rsidRPr="74531052" w:rsidR="76EADE4F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4"/>
          <w:szCs w:val="24"/>
          <w:lang w:val="en-US"/>
        </w:rPr>
        <w:t>8. Control de cambios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860"/>
        <w:gridCol w:w="4200"/>
        <w:gridCol w:w="1860"/>
      </w:tblGrid>
      <w:tr w:rsidR="74531052" w:rsidTr="74531052" w14:paraId="15966E12">
        <w:trPr>
          <w:trHeight w:val="300"/>
        </w:trPr>
        <w:tc>
          <w:tcPr>
            <w:tcW w:w="13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C19CA70" w14:textId="12C1683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3AABE2A" w14:textId="6EE42B2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</w:t>
            </w:r>
          </w:p>
        </w:tc>
        <w:tc>
          <w:tcPr>
            <w:tcW w:w="42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17EC92E" w14:textId="68C8CF8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006AA250" w14:textId="68230A2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Responsable</w:t>
            </w:r>
          </w:p>
        </w:tc>
      </w:tr>
      <w:tr w:rsidR="74531052" w:rsidTr="74531052" w14:paraId="78006EB7">
        <w:trPr>
          <w:trHeight w:val="300"/>
        </w:trPr>
        <w:tc>
          <w:tcPr>
            <w:tcW w:w="139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FAF3F7E" w14:textId="69F65CF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FCC5D74" w14:textId="1F45A53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420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2FBA1D17" w14:textId="58714A0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Emisión inicial del documento</w:t>
            </w:r>
          </w:p>
        </w:tc>
        <w:tc>
          <w:tcPr>
            <w:tcW w:w="186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58578D6" w14:textId="330F246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</w:tr>
    </w:tbl>
    <w:p w:rsidR="74531052" w:rsidRDefault="74531052" w14:paraId="728EEDA3" w14:textId="70EFA700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fd212e8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237F019C"/>
    <w:rsid w:val="3286463C"/>
    <w:rsid w:val="4669E985"/>
    <w:rsid w:val="74531052"/>
    <w:rsid w:val="76EAD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9E985"/>
  <w15:chartTrackingRefBased/>
  <w15:docId w15:val="{B13D866D-4A0A-44BC-B38E-F96B2040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745310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05b6212c0dcc41eb" Type="http://schemas.openxmlformats.org/officeDocument/2006/relationships/numbering" Target="numbering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Relationship Id="rIdLnkB1" Type="http://schemas.openxmlformats.org/officeDocument/2006/relationships/hyperlink" Target="../02-procedimientos/PROC-SGSI-16%20-%20Procedimiento%20de%20respuesta%20ante%20malware.docx" TargetMode="External"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4FE4E070-3949-4123-9528-08240D72C593}"/>
</file>

<file path=customXml/itemProps2.xml><?xml version="1.0" encoding="utf-8"?>
<ds:datastoreItem xmlns:ds="http://schemas.openxmlformats.org/officeDocument/2006/customXml" ds:itemID="{58A9FA02-D7BB-4ECB-A297-FA5886F9C6D1}"/>
</file>

<file path=customXml/itemProps3.xml><?xml version="1.0" encoding="utf-8"?>
<ds:datastoreItem xmlns:ds="http://schemas.openxmlformats.org/officeDocument/2006/customXml" ds:itemID="{AAF0F35F-B113-4F10-AA1B-29FE54D194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SAVKA ANTIARE CARVAJAL GONZALEZ</dc:creator>
  <cp:keywords/>
  <dc:description/>
  <cp:lastModifiedBy>SAVKA ANTIARE CARVAJAL GONZALEZ</cp:lastModifiedBy>
  <cp:revision>2</cp:revision>
  <dcterms:created xsi:type="dcterms:W3CDTF">2026-05-04T04:10:24Z</dcterms:created>
  <dcterms:modified xsi:type="dcterms:W3CDTF">2026-05-04T04:12:15Z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