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POLÍTICAS DE SEGURIDAD DEL SISTEMA DE GESTIÓN DE SEGURIDAD DE LA INFORMACIÓN</w:t>
      </w:r>
    </w:p>
    <w:p>
      <w:pPr>
        <w:jc w:val="center"/>
      </w:pPr>
      <w:r>
        <w:rPr>
          <w:b/>
        </w:rPr>
        <w:t>NovaRetail SpA</w:t>
      </w:r>
    </w:p>
    <w:p/>
    <w:tbl>
      <w:tblPr>
        <w:tblStyle w:val="TableGrid"/>
        <w:tblW w:type="auto" w:w="0"/>
        <w:tblLook w:firstColumn="1" w:firstRow="1" w:lastColumn="0" w:lastRow="0" w:noHBand="0" w:noVBand="1" w:val="04A0"/>
      </w:tblPr>
      <w:tblGrid>
        <w:gridCol w:w="3402"/>
        <w:gridCol w:w="5669"/>
      </w:tblGrid>
      <w:tr>
        <w:tc>
          <w:tcPr>
            <w:tcW w:type="dxa" w:w="3402"/>
            <w:shd w:val="clear" w:color="auto" w:fill="BDD7EE"/>
          </w:tcPr>
          <w:p>
            <w:r>
              <w:rPr>
                <w:b/>
              </w:rPr>
              <w:t>Actividad práctica</w:t>
            </w:r>
          </w:p>
        </w:tc>
        <w:tc>
          <w:tcPr>
            <w:tcW w:type="dxa" w:w="5669"/>
          </w:tcPr>
          <w:p>
            <w:r>
              <w:rPr>
                <w:sz w:val="20"/>
              </w:rPr>
              <w:t>Gobernanza e Implementación de un SGSI</w:t>
            </w:r>
          </w:p>
        </w:tc>
      </w:tr>
      <w:tr>
        <w:tc>
          <w:tcPr>
            <w:tcW w:type="dxa" w:w="3402"/>
            <w:shd w:val="clear" w:color="auto" w:fill="BDD7EE"/>
          </w:tcPr>
          <w:p>
            <w:r>
              <w:rPr>
                <w:b/>
              </w:rPr>
              <w:t>Asignatura</w:t>
            </w:r>
          </w:p>
        </w:tc>
        <w:tc>
          <w:tcPr>
            <w:tcW w:type="dxa" w:w="5669"/>
          </w:tcPr>
          <w:p>
            <w:r>
              <w:rPr>
                <w:sz w:val="20"/>
              </w:rPr>
              <w:t>Gestión de la Ciberseguridad</w:t>
            </w:r>
          </w:p>
        </w:tc>
      </w:tr>
      <w:tr>
        <w:tc>
          <w:tcPr>
            <w:tcW w:type="dxa" w:w="3402"/>
            <w:shd w:val="clear" w:color="auto" w:fill="BDD7EE"/>
          </w:tcPr>
          <w:p>
            <w:r>
              <w:rPr>
                <w:b/>
              </w:rPr>
              <w:t>Integrantes del grupo</w:t>
            </w:r>
          </w:p>
        </w:tc>
        <w:tc>
          <w:tcPr>
            <w:tcW w:type="dxa" w:w="5669"/>
          </w:tcPr>
          <w:p>
            <w:r>
              <w:rPr>
                <w:sz w:val="20"/>
              </w:rPr>
              <w:t>Sergio Cubelli</w:t>
              <w:br/>
              <w:t>Savka Carvajal</w:t>
              <w:br/>
              <w:t>Joaquín Zambra</w:t>
              <w:br/>
              <w:t>Alejandro Tapia</w:t>
              <w:br/>
              <w:t>Filippo Moreno</w:t>
            </w:r>
          </w:p>
        </w:tc>
      </w:tr>
      <w:tr>
        <w:tc>
          <w:tcPr>
            <w:tcW w:type="dxa" w:w="3402"/>
            <w:shd w:val="clear" w:color="auto" w:fill="BDD7EE"/>
          </w:tcPr>
          <w:p>
            <w:r>
              <w:rPr>
                <w:b/>
              </w:rPr>
              <w:t>Código del conjunto</w:t>
            </w:r>
          </w:p>
        </w:tc>
        <w:tc>
          <w:tcPr>
            <w:tcW w:type="dxa" w:w="5669"/>
          </w:tcPr>
          <w:p>
            <w:r>
              <w:rPr>
                <w:sz w:val="20"/>
              </w:rPr>
              <w:t>POL-SGSI-01 a POL-SGSI-15</w:t>
            </w:r>
          </w:p>
        </w:tc>
      </w:tr>
      <w:tr>
        <w:tc>
          <w:tcPr>
            <w:tcW w:type="dxa" w:w="3402"/>
            <w:shd w:val="clear" w:color="auto" w:fill="BDD7EE"/>
          </w:tcPr>
          <w:p>
            <w:r>
              <w:rPr>
                <w:b/>
              </w:rPr>
              <w:t>Fecha de emisión</w:t>
            </w:r>
          </w:p>
        </w:tc>
        <w:tc>
          <w:tcPr>
            <w:tcW w:type="dxa" w:w="5669"/>
          </w:tcPr>
          <w:p>
            <w:r>
              <w:rPr>
                <w:sz w:val="20"/>
              </w:rPr>
              <w:t>22-04-2026</w:t>
            </w:r>
          </w:p>
        </w:tc>
      </w:tr>
      <w:tr>
        <w:tc>
          <w:tcPr>
            <w:tcW w:type="dxa" w:w="3402"/>
            <w:shd w:val="clear" w:color="auto" w:fill="BDD7EE"/>
          </w:tcPr>
          <w:p>
            <w:r>
              <w:rPr>
                <w:b/>
              </w:rPr>
              <w:t>Versión</w:t>
            </w:r>
          </w:p>
        </w:tc>
        <w:tc>
          <w:tcPr>
            <w:tcW w:type="dxa" w:w="5669"/>
          </w:tcPr>
          <w:p>
            <w:r>
              <w:rPr>
                <w:sz w:val="20"/>
              </w:rPr>
              <w:t>1.0</w:t>
            </w:r>
          </w:p>
        </w:tc>
      </w:tr>
      <w:tr>
        <w:tc>
          <w:tcPr>
            <w:tcW w:type="dxa" w:w="3402"/>
            <w:shd w:val="clear" w:color="auto" w:fill="BDD7EE"/>
          </w:tcPr>
          <w:p>
            <w:r>
              <w:rPr>
                <w:b/>
              </w:rPr>
              <w:t>Estado</w:t>
            </w:r>
          </w:p>
        </w:tc>
        <w:tc>
          <w:tcPr>
            <w:tcW w:type="dxa" w:w="5669"/>
          </w:tcPr>
          <w:p>
            <w:r>
              <w:rPr>
                <w:sz w:val="20"/>
              </w:rPr>
              <w:t>Aprobado</w:t>
            </w:r>
          </w:p>
        </w:tc>
      </w:tr>
      <w:tr>
        <w:tc>
          <w:tcPr>
            <w:tcW w:type="dxa" w:w="3402"/>
            <w:shd w:val="clear" w:color="auto" w:fill="BDD7EE"/>
          </w:tcPr>
          <w:p>
            <w:r>
              <w:rPr>
                <w:b/>
              </w:rPr>
              <w:t>Clasificación</w:t>
            </w:r>
          </w:p>
        </w:tc>
        <w:tc>
          <w:tcPr>
            <w:tcW w:type="dxa" w:w="5669"/>
          </w:tcPr>
          <w:p>
            <w:r>
              <w:rPr>
                <w:sz w:val="20"/>
              </w:rPr>
              <w:t>Interno</w:t>
            </w:r>
          </w:p>
        </w:tc>
      </w:tr>
    </w:tbl>
    <w:p>
      <w:r>
        <w:br w:type="page"/>
      </w:r>
    </w:p>
    <w:p>
      <w:pPr>
        <w:jc w:val="center"/>
      </w:pPr>
      <w:r>
        <w:rPr>
          <w:b/>
          <w:color w:val="1F3864"/>
          <w:sz w:val="28"/>
        </w:rPr>
        <w:t>POL-SGSI-15 — Política de línea base de software</w:t>
      </w:r>
    </w:p>
    <w:p>
      <w:pPr>
        <w:jc w:val="center"/>
      </w:pPr>
      <w:r>
        <w:rPr>
          <w:i/>
        </w:rPr>
        <w:t>Política de seguridad del SGSI de NovaRetail SpA.</w:t>
      </w:r>
    </w:p>
    <w:p/>
    <w:p>
      <w:pPr>
        <w:spacing w:before="200" w:after="80"/>
      </w:pPr>
      <w:r>
        <w:rPr>
          <w:b/>
          <w:color w:val="1F3864"/>
          <w:sz w:val="26"/>
        </w:rPr>
        <w:t>1. Control documental</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b/>
                <w:sz w:val="20"/>
              </w:rPr>
              <w:t>Código</w:t>
            </w:r>
          </w:p>
        </w:tc>
        <w:tc>
          <w:tcPr>
            <w:tcW w:type="dxa" w:w="4561"/>
          </w:tcPr>
          <w:p>
            <w:r>
              <w:rPr>
                <w:sz w:val="20"/>
              </w:rPr>
              <w:t>POL-SGSI-15</w:t>
            </w:r>
          </w:p>
        </w:tc>
      </w:tr>
      <w:tr>
        <w:tc>
          <w:tcPr>
            <w:tcW w:type="dxa" w:w="4561"/>
            <w:shd w:val="clear" w:color="auto" w:fill="BDD7EE"/>
          </w:tcPr>
          <w:p>
            <w:r>
              <w:rPr>
                <w:b/>
                <w:sz w:val="20"/>
              </w:rPr>
              <w:t>Versión</w:t>
            </w:r>
          </w:p>
        </w:tc>
        <w:tc>
          <w:tcPr>
            <w:tcW w:type="dxa" w:w="4561"/>
          </w:tcPr>
          <w:p>
            <w:r>
              <w:rPr>
                <w:sz w:val="20"/>
              </w:rPr>
              <w:t>1.0</w:t>
            </w:r>
          </w:p>
        </w:tc>
      </w:tr>
      <w:tr>
        <w:tc>
          <w:tcPr>
            <w:tcW w:type="dxa" w:w="4561"/>
            <w:shd w:val="clear" w:color="auto" w:fill="BDD7EE"/>
          </w:tcPr>
          <w:p>
            <w:r>
              <w:rPr>
                <w:b/>
                <w:sz w:val="20"/>
              </w:rPr>
              <w:t>Fecha de emisión</w:t>
            </w:r>
          </w:p>
        </w:tc>
        <w:tc>
          <w:tcPr>
            <w:tcW w:type="dxa" w:w="4561"/>
          </w:tcPr>
          <w:p>
            <w:r>
              <w:rPr>
                <w:sz w:val="20"/>
              </w:rPr>
              <w:t>22-04-2026</w:t>
            </w:r>
          </w:p>
        </w:tc>
      </w:tr>
      <w:tr>
        <w:tc>
          <w:tcPr>
            <w:tcW w:type="dxa" w:w="4561"/>
            <w:shd w:val="clear" w:color="auto" w:fill="BDD7EE"/>
          </w:tcPr>
          <w:p>
            <w:r>
              <w:rPr>
                <w:b/>
                <w:sz w:val="20"/>
              </w:rPr>
              <w:t>Clasificación</w:t>
            </w:r>
          </w:p>
        </w:tc>
        <w:tc>
          <w:tcPr>
            <w:tcW w:type="dxa" w:w="4561"/>
          </w:tcPr>
          <w:p>
            <w:r>
              <w:rPr>
                <w:sz w:val="20"/>
              </w:rPr>
              <w:t>Interno</w:t>
            </w:r>
          </w:p>
        </w:tc>
      </w:tr>
      <w:tr>
        <w:tc>
          <w:tcPr>
            <w:tcW w:type="dxa" w:w="4561"/>
            <w:shd w:val="clear" w:color="auto" w:fill="BDD7EE"/>
          </w:tcPr>
          <w:p>
            <w:r>
              <w:rPr>
                <w:b/>
                <w:sz w:val="20"/>
              </w:rPr>
              <w:t>Elaborado por</w:t>
            </w:r>
          </w:p>
        </w:tc>
        <w:tc>
          <w:tcPr>
            <w:tcW w:type="dxa" w:w="4561"/>
          </w:tcPr>
          <w:p>
            <w:r>
              <w:rPr>
                <w:sz w:val="20"/>
              </w:rPr>
              <w:t>Equipo SGSI NovaRetail</w:t>
            </w:r>
          </w:p>
        </w:tc>
      </w:tr>
      <w:tr>
        <w:tc>
          <w:tcPr>
            <w:tcW w:type="dxa" w:w="4561"/>
            <w:shd w:val="clear" w:color="auto" w:fill="BDD7EE"/>
          </w:tcPr>
          <w:p>
            <w:r>
              <w:rPr>
                <w:b/>
                <w:sz w:val="20"/>
              </w:rPr>
              <w:t>Revisado por</w:t>
            </w:r>
          </w:p>
        </w:tc>
        <w:tc>
          <w:tcPr>
            <w:tcW w:type="dxa" w:w="4561"/>
          </w:tcPr>
          <w:p>
            <w:r>
              <w:rPr>
                <w:sz w:val="20"/>
              </w:rPr>
              <w:t>CISO</w:t>
            </w:r>
          </w:p>
        </w:tc>
      </w:tr>
      <w:tr>
        <w:tc>
          <w:tcPr>
            <w:tcW w:type="dxa" w:w="4561"/>
            <w:shd w:val="clear" w:color="auto" w:fill="BDD7EE"/>
          </w:tcPr>
          <w:p>
            <w:r>
              <w:rPr>
                <w:b/>
                <w:sz w:val="20"/>
              </w:rPr>
              <w:t>Aprobado por</w:t>
            </w:r>
          </w:p>
        </w:tc>
        <w:tc>
          <w:tcPr>
            <w:tcW w:type="dxa" w:w="4561"/>
          </w:tcPr>
          <w:p>
            <w:r>
              <w:rPr>
                <w:sz w:val="20"/>
              </w:rPr>
              <w:t>Gerencia General</w:t>
            </w:r>
          </w:p>
        </w:tc>
      </w:tr>
      <w:tr>
        <w:tc>
          <w:tcPr>
            <w:tcW w:type="dxa" w:w="4561"/>
            <w:shd w:val="clear" w:color="auto" w:fill="BDD7EE"/>
          </w:tcPr>
          <w:p>
            <w:r>
              <w:rPr>
                <w:b/>
                <w:sz w:val="20"/>
              </w:rPr>
              <w:t>Próxima revisión</w:t>
            </w:r>
          </w:p>
        </w:tc>
        <w:tc>
          <w:tcPr>
            <w:tcW w:type="dxa" w:w="4561"/>
          </w:tcPr>
          <w:p>
            <w:r>
              <w:rPr>
                <w:sz w:val="20"/>
              </w:rPr>
              <w:t>22-04-2027</w:t>
            </w:r>
          </w:p>
        </w:tc>
      </w:tr>
    </w:tbl>
    <w:p>
      <w:pPr>
        <w:spacing w:before="200" w:after="80"/>
      </w:pPr>
      <w:r>
        <w:rPr>
          <w:b/>
          <w:color w:val="1F3864"/>
          <w:sz w:val="26"/>
        </w:rPr>
        <w:t>2. Objetivo</w:t>
      </w:r>
    </w:p>
    <w:p>
      <w:pPr>
        <w:spacing w:after="40"/>
      </w:pPr>
      <w:r>
        <w:rPr>
          <w:sz w:val="22"/>
        </w:rPr>
        <w:t>Definir la línea base de software autorizada para los sistemas de NovaRetail SpA, estableciendo los estándares mínimos de sistema operativo, software de aplicación, herramientas de protección (antivirus / EDR) y gestión de licencias, con el fin de reducir la superficie de ataque, garantizar el cumplimiento legal y mantener un entorno de TI homogéneo, auditable y seguro en todas las ubicaciones de la empresa (datacenter central, oficinas centrales y bodega regional).</w:t>
      </w:r>
    </w:p>
    <w:p>
      <w:pPr>
        <w:spacing w:before="200" w:after="80"/>
      </w:pPr>
      <w:r>
        <w:rPr>
          <w:b/>
          <w:color w:val="1F3864"/>
          <w:sz w:val="26"/>
        </w:rPr>
        <w:t>3. Alcance</w:t>
      </w:r>
    </w:p>
    <w:p>
      <w:pPr>
        <w:spacing w:after="40"/>
      </w:pPr>
      <w:r>
        <w:rPr>
          <w:sz w:val="22"/>
        </w:rPr>
        <w:t>Aplica a todos los sistemas gestionados por Gerencia TI de NovaRetail SpA: servidores (datacenter central y bodega regional), estaciones de trabajo de oficinas centrales, estaciones de bodega, laptops corporativos y máquinas virtuales en la nube. No aplica a dispositivos personales (BYOD) ni a sistemas SaaS gestionados íntegramente por el proveedor (M365, Workspace).</w:t>
      </w:r>
    </w:p>
    <w:p>
      <w:pPr>
        <w:spacing w:before="200" w:after="80"/>
      </w:pPr>
      <w:r>
        <w:rPr>
          <w:b/>
          <w:color w:val="1F3864"/>
          <w:sz w:val="26"/>
        </w:rPr>
        <w:t>4. Roles y responsabilidades</w:t>
      </w:r>
    </w:p>
    <w:tbl>
      <w:tblPr>
        <w:tblStyle w:val="TableGrid"/>
        <w:tblW w:type="auto" w:w="0"/>
        <w:tblLook w:firstColumn="1" w:firstRow="1" w:lastColumn="0" w:lastRow="0" w:noHBand="0" w:noVBand="1" w:val="04A0"/>
      </w:tblPr>
      <w:tblGrid>
        <w:gridCol w:w="2268"/>
        <w:gridCol w:w="6803"/>
      </w:tblGrid>
      <w:tr>
        <w:tc>
          <w:tcPr>
            <w:tcW w:type="dxa" w:w="2268"/>
            <w:shd w:val="clear" w:color="auto" w:fill="BDD7EE"/>
          </w:tcPr>
          <w:p>
            <w:r>
              <w:rPr>
                <w:b/>
                <w:sz w:val="20"/>
              </w:rPr>
              <w:t>CISO</w:t>
            </w:r>
          </w:p>
        </w:tc>
        <w:tc>
          <w:tcPr>
            <w:tcW w:type="dxa" w:w="6803"/>
          </w:tcPr>
          <w:p>
            <w:r>
              <w:rPr>
                <w:sz w:val="20"/>
              </w:rPr>
              <w:t>Aprueba la línea base de software y sus actualizaciones. Define los estándares de herramientas de protección. Aprueba excepciones.</w:t>
            </w:r>
          </w:p>
        </w:tc>
      </w:tr>
      <w:tr>
        <w:tc>
          <w:tcPr>
            <w:tcW w:type="dxa" w:w="2268"/>
            <w:shd w:val="clear" w:color="auto" w:fill="BDD7EE"/>
          </w:tcPr>
          <w:p>
            <w:r>
              <w:rPr>
                <w:b/>
                <w:sz w:val="20"/>
              </w:rPr>
              <w:t>Gerencia TI</w:t>
            </w:r>
          </w:p>
        </w:tc>
        <w:tc>
          <w:tcPr>
            <w:tcW w:type="dxa" w:w="6803"/>
          </w:tcPr>
          <w:p>
            <w:r>
              <w:rPr>
                <w:sz w:val="20"/>
              </w:rPr>
              <w:t>Mantiene el inventario de software autorizado, despliega la línea base mediante Ansible, ejecuta auditorías de cumplimiento y gestiona las licencias.</w:t>
            </w:r>
          </w:p>
        </w:tc>
      </w:tr>
      <w:tr>
        <w:tc>
          <w:tcPr>
            <w:tcW w:type="dxa" w:w="2268"/>
            <w:shd w:val="clear" w:color="auto" w:fill="BDD7EE"/>
          </w:tcPr>
          <w:p>
            <w:r>
              <w:rPr>
                <w:b/>
                <w:sz w:val="20"/>
              </w:rPr>
              <w:t>ERI</w:t>
            </w:r>
          </w:p>
        </w:tc>
        <w:tc>
          <w:tcPr>
            <w:tcW w:type="dxa" w:w="6803"/>
          </w:tcPr>
          <w:p>
            <w:r>
              <w:rPr>
                <w:sz w:val="20"/>
              </w:rPr>
              <w:t>Valida que la línea base incluye los controles de seguridad actualizados conforme a CIS Benchmarks y CVEs recientes.</w:t>
            </w:r>
          </w:p>
        </w:tc>
      </w:tr>
      <w:tr>
        <w:tc>
          <w:tcPr>
            <w:tcW w:type="dxa" w:w="2268"/>
            <w:shd w:val="clear" w:color="auto" w:fill="BDD7EE"/>
          </w:tcPr>
          <w:p>
            <w:r>
              <w:rPr>
                <w:b/>
                <w:sz w:val="20"/>
              </w:rPr>
              <w:t>Jefaturas</w:t>
            </w:r>
          </w:p>
        </w:tc>
        <w:tc>
          <w:tcPr>
            <w:tcW w:type="dxa" w:w="6803"/>
          </w:tcPr>
          <w:p>
            <w:r>
              <w:rPr>
                <w:sz w:val="20"/>
              </w:rPr>
              <w:t>Solicitan software adicional con justificación de negocio. No instalan software sin aprobación de Gerencia TI.</w:t>
            </w:r>
          </w:p>
        </w:tc>
      </w:tr>
    </w:tbl>
    <w:p>
      <w:pPr>
        <w:spacing w:before="200" w:after="80"/>
      </w:pPr>
      <w:r>
        <w:rPr>
          <w:b/>
          <w:color w:val="1F3864"/>
          <w:sz w:val="26"/>
        </w:rPr>
        <w:t>5. Lineamientos de la política</w:t>
      </w:r>
    </w:p>
    <w:p>
      <w:pPr>
        <w:spacing w:before="140"/>
      </w:pPr>
      <w:r>
        <w:rPr>
          <w:b/>
          <w:color w:val="2E74B5"/>
          <w:sz w:val="22"/>
        </w:rPr>
        <w:t>5.1 Línea base de sistema operativo</w:t>
      </w:r>
    </w:p>
    <w:p>
      <w:pPr>
        <w:spacing w:after="40"/>
      </w:pPr>
      <w:r>
        <w:rPr>
          <w:sz w:val="22"/>
        </w:rPr>
        <w:t>Gerencia TI define y mantiene la lista de sistemas operativos aprobados para cada tipo de sistema. El uso de versiones no incluidas en esta lista requiere aprobación explícita del CISO y tiene un plazo máximo de 90 días para migrar a la versión aprobada.</w:t>
      </w:r>
    </w:p>
    <w:tbl>
      <w:tblPr>
        <w:tblStyle w:val="TableGrid"/>
        <w:tblW w:type="auto" w:w="0"/>
        <w:tblLook w:firstColumn="1" w:firstRow="1" w:lastColumn="0" w:lastRow="0" w:noHBand="0" w:noVBand="1" w:val="04A0"/>
      </w:tblPr>
      <w:tblGrid>
        <w:gridCol w:w="2268"/>
        <w:gridCol w:w="2551"/>
        <w:gridCol w:w="1984"/>
        <w:gridCol w:w="2268"/>
      </w:tblGrid>
      <w:tr>
        <w:tc>
          <w:tcPr>
            <w:tcW w:type="dxa" w:w="2268"/>
            <w:shd w:val="clear" w:color="auto" w:fill="1F3864"/>
          </w:tcPr>
          <w:p>
            <w:r>
              <w:rPr>
                <w:b/>
                <w:color w:val="FFFFFF"/>
                <w:sz w:val="20"/>
              </w:rPr>
              <w:t>Tipo de sistema</w:t>
            </w:r>
          </w:p>
        </w:tc>
        <w:tc>
          <w:tcPr>
            <w:tcW w:type="dxa" w:w="2551"/>
            <w:shd w:val="clear" w:color="auto" w:fill="1F3864"/>
          </w:tcPr>
          <w:p>
            <w:r>
              <w:rPr>
                <w:b/>
                <w:color w:val="FFFFFF"/>
                <w:sz w:val="20"/>
              </w:rPr>
              <w:t>SO aprobado</w:t>
            </w:r>
          </w:p>
        </w:tc>
        <w:tc>
          <w:tcPr>
            <w:tcW w:type="dxa" w:w="1984"/>
            <w:shd w:val="clear" w:color="auto" w:fill="1F3864"/>
          </w:tcPr>
          <w:p>
            <w:r>
              <w:rPr>
                <w:b/>
                <w:color w:val="FFFFFF"/>
                <w:sz w:val="20"/>
              </w:rPr>
              <w:t>Versión mínima</w:t>
            </w:r>
          </w:p>
        </w:tc>
        <w:tc>
          <w:tcPr>
            <w:tcW w:type="dxa" w:w="2268"/>
            <w:shd w:val="clear" w:color="auto" w:fill="1F3864"/>
          </w:tcPr>
          <w:p>
            <w:r>
              <w:rPr>
                <w:b/>
                <w:color w:val="FFFFFF"/>
                <w:sz w:val="20"/>
              </w:rPr>
              <w:t>Referencia de hardening</w:t>
            </w:r>
          </w:p>
        </w:tc>
      </w:tr>
      <w:tr>
        <w:tc>
          <w:tcPr>
            <w:tcW w:type="dxa" w:w="2268"/>
          </w:tcPr>
          <w:p>
            <w:r>
              <w:rPr>
                <w:sz w:val="20"/>
              </w:rPr>
              <w:t>Servidores web / app</w:t>
            </w:r>
          </w:p>
        </w:tc>
        <w:tc>
          <w:tcPr>
            <w:tcW w:type="dxa" w:w="2551"/>
          </w:tcPr>
          <w:p>
            <w:r>
              <w:rPr>
                <w:sz w:val="20"/>
              </w:rPr>
              <w:t>Ubuntu Server LTS</w:t>
            </w:r>
          </w:p>
        </w:tc>
        <w:tc>
          <w:tcPr>
            <w:tcW w:type="dxa" w:w="1984"/>
          </w:tcPr>
          <w:p>
            <w:r>
              <w:rPr>
                <w:sz w:val="20"/>
              </w:rPr>
              <w:t>22.04 LTS o superior</w:t>
            </w:r>
          </w:p>
        </w:tc>
        <w:tc>
          <w:tcPr>
            <w:tcW w:type="dxa" w:w="2268"/>
          </w:tcPr>
          <w:p>
            <w:r>
              <w:rPr>
                <w:sz w:val="20"/>
              </w:rPr>
              <w:t>CIS Ubuntu Linux Benchmark</w:t>
            </w:r>
          </w:p>
        </w:tc>
      </w:tr>
      <w:tr>
        <w:tc>
          <w:tcPr>
            <w:tcW w:type="dxa" w:w="2268"/>
          </w:tcPr>
          <w:p>
            <w:r>
              <w:rPr>
                <w:sz w:val="20"/>
              </w:rPr>
              <w:t>Servidores BD</w:t>
            </w:r>
          </w:p>
        </w:tc>
        <w:tc>
          <w:tcPr>
            <w:tcW w:type="dxa" w:w="2551"/>
          </w:tcPr>
          <w:p>
            <w:r>
              <w:rPr>
                <w:sz w:val="20"/>
              </w:rPr>
              <w:t>Ubuntu Server LTS / RHEL</w:t>
            </w:r>
          </w:p>
        </w:tc>
        <w:tc>
          <w:tcPr>
            <w:tcW w:type="dxa" w:w="1984"/>
          </w:tcPr>
          <w:p>
            <w:r>
              <w:rPr>
                <w:sz w:val="20"/>
              </w:rPr>
              <w:t>22.04 LTS / RHEL 9</w:t>
            </w:r>
          </w:p>
        </w:tc>
        <w:tc>
          <w:tcPr>
            <w:tcW w:type="dxa" w:w="2268"/>
          </w:tcPr>
          <w:p>
            <w:r>
              <w:rPr>
                <w:sz w:val="20"/>
              </w:rPr>
              <w:t>CIS Benchmark SO correspondiente</w:t>
            </w:r>
          </w:p>
        </w:tc>
      </w:tr>
      <w:tr>
        <w:tc>
          <w:tcPr>
            <w:tcW w:type="dxa" w:w="2268"/>
          </w:tcPr>
          <w:p>
            <w:r>
              <w:rPr>
                <w:sz w:val="20"/>
              </w:rPr>
              <w:t>Servidores Windows</w:t>
            </w:r>
          </w:p>
        </w:tc>
        <w:tc>
          <w:tcPr>
            <w:tcW w:type="dxa" w:w="2551"/>
          </w:tcPr>
          <w:p>
            <w:r>
              <w:rPr>
                <w:sz w:val="20"/>
              </w:rPr>
              <w:t>Windows Server</w:t>
            </w:r>
          </w:p>
        </w:tc>
        <w:tc>
          <w:tcPr>
            <w:tcW w:type="dxa" w:w="1984"/>
          </w:tcPr>
          <w:p>
            <w:r>
              <w:rPr>
                <w:sz w:val="20"/>
              </w:rPr>
              <w:t>2019 / 2022</w:t>
            </w:r>
          </w:p>
        </w:tc>
        <w:tc>
          <w:tcPr>
            <w:tcW w:type="dxa" w:w="2268"/>
          </w:tcPr>
          <w:p>
            <w:r>
              <w:rPr>
                <w:sz w:val="20"/>
              </w:rPr>
              <w:t>CIS Windows Server Benchmark</w:t>
            </w:r>
          </w:p>
        </w:tc>
      </w:tr>
      <w:tr>
        <w:tc>
          <w:tcPr>
            <w:tcW w:type="dxa" w:w="2268"/>
          </w:tcPr>
          <w:p>
            <w:r>
              <w:rPr>
                <w:sz w:val="20"/>
              </w:rPr>
              <w:t>Estaciones oficina</w:t>
            </w:r>
          </w:p>
        </w:tc>
        <w:tc>
          <w:tcPr>
            <w:tcW w:type="dxa" w:w="2551"/>
          </w:tcPr>
          <w:p>
            <w:r>
              <w:rPr>
                <w:sz w:val="20"/>
              </w:rPr>
              <w:t>Windows 10/11 Pro</w:t>
            </w:r>
          </w:p>
        </w:tc>
        <w:tc>
          <w:tcPr>
            <w:tcW w:type="dxa" w:w="1984"/>
          </w:tcPr>
          <w:p>
            <w:r>
              <w:rPr>
                <w:sz w:val="20"/>
              </w:rPr>
              <w:t>Windows 11 22H2+</w:t>
            </w:r>
          </w:p>
        </w:tc>
        <w:tc>
          <w:tcPr>
            <w:tcW w:type="dxa" w:w="2268"/>
          </w:tcPr>
          <w:p>
            <w:r>
              <w:rPr>
                <w:sz w:val="20"/>
              </w:rPr>
              <w:t>CIS Windows 11 Benchmark</w:t>
            </w:r>
          </w:p>
        </w:tc>
      </w:tr>
      <w:tr>
        <w:tc>
          <w:tcPr>
            <w:tcW w:type="dxa" w:w="2268"/>
          </w:tcPr>
          <w:p>
            <w:r>
              <w:rPr>
                <w:sz w:val="20"/>
              </w:rPr>
              <w:t>Estaciones bodega</w:t>
            </w:r>
          </w:p>
        </w:tc>
        <w:tc>
          <w:tcPr>
            <w:tcW w:type="dxa" w:w="2551"/>
          </w:tcPr>
          <w:p>
            <w:r>
              <w:rPr>
                <w:sz w:val="20"/>
              </w:rPr>
              <w:t>Windows 10 LTSC</w:t>
            </w:r>
          </w:p>
        </w:tc>
        <w:tc>
          <w:tcPr>
            <w:tcW w:type="dxa" w:w="1984"/>
          </w:tcPr>
          <w:p>
            <w:r>
              <w:rPr>
                <w:sz w:val="20"/>
              </w:rPr>
              <w:t>LTSC 2021+</w:t>
            </w:r>
          </w:p>
        </w:tc>
        <w:tc>
          <w:tcPr>
            <w:tcW w:type="dxa" w:w="2268"/>
          </w:tcPr>
          <w:p>
            <w:r>
              <w:rPr>
                <w:sz w:val="20"/>
              </w:rPr>
              <w:t>CIS Windows 10 Benchmark</w:t>
            </w:r>
          </w:p>
        </w:tc>
      </w:tr>
      <w:tr>
        <w:tc>
          <w:tcPr>
            <w:tcW w:type="dxa" w:w="2268"/>
          </w:tcPr>
          <w:p>
            <w:r>
              <w:rPr>
                <w:sz w:val="20"/>
              </w:rPr>
              <w:t>Laptops corporativos</w:t>
            </w:r>
          </w:p>
        </w:tc>
        <w:tc>
          <w:tcPr>
            <w:tcW w:type="dxa" w:w="2551"/>
          </w:tcPr>
          <w:p>
            <w:r>
              <w:rPr>
                <w:sz w:val="20"/>
              </w:rPr>
              <w:t>Windows 11 Pro / Ubuntu 22.04</w:t>
            </w:r>
          </w:p>
        </w:tc>
        <w:tc>
          <w:tcPr>
            <w:tcW w:type="dxa" w:w="1984"/>
          </w:tcPr>
          <w:p>
            <w:r>
              <w:rPr>
                <w:sz w:val="20"/>
              </w:rPr>
              <w:t>Según asignación</w:t>
            </w:r>
          </w:p>
        </w:tc>
        <w:tc>
          <w:tcPr>
            <w:tcW w:type="dxa" w:w="2268"/>
          </w:tcPr>
          <w:p>
            <w:r>
              <w:rPr>
                <w:sz w:val="20"/>
              </w:rPr>
              <w:t>CIS Benchmark correspondiente</w:t>
            </w:r>
          </w:p>
        </w:tc>
      </w:tr>
    </w:tbl>
    <w:p>
      <w:pPr>
        <w:spacing w:after="40"/>
      </w:pPr>
      <w:r>
        <w:rPr>
          <w:sz w:val="22"/>
        </w:rPr>
        <w:t>Los sistemas operativos en fin de soporte (End of Life) deben migrarse antes de que el fabricante cese las actualizaciones de seguridad. Gerencia TI mantiene un calendario de EOL de todos los SO en uso.</w:t>
      </w:r>
    </w:p>
    <w:p>
      <w:pPr>
        <w:spacing w:before="140"/>
      </w:pPr>
      <w:r>
        <w:rPr>
          <w:b/>
          <w:color w:val="2E74B5"/>
          <w:sz w:val="22"/>
        </w:rPr>
        <w:t>5.2 Software autorizado y prohibido</w:t>
      </w:r>
    </w:p>
    <w:p>
      <w:pPr>
        <w:spacing w:after="40"/>
      </w:pPr>
      <w:r>
        <w:rPr>
          <w:sz w:val="22"/>
        </w:rPr>
        <w:t>Gerencia TI mantiene el Inventario de Software Autorizado (ISA), versionado y actualizado al menos trimestralmente. Solo el software listado en el ISA puede instalarse en sistemas de NovaRetail.</w:t>
      </w:r>
    </w:p>
    <w:p>
      <w:pPr>
        <w:spacing w:after="40"/>
      </w:pPr>
      <w:r>
        <w:rPr>
          <w:sz w:val="22"/>
        </w:rPr>
        <w:t>• Todo software nuevo requiere solicitud formal con justificación de negocio, aprobación del CISO y verificación de que no introduce vulnerabilidades conocidas (CVE scan del instalador).</w:t>
      </w:r>
    </w:p>
    <w:p>
      <w:pPr>
        <w:spacing w:after="40"/>
      </w:pPr>
      <w:r>
        <w:rPr>
          <w:sz w:val="22"/>
        </w:rPr>
        <w:t>• Queda prohibido instalar: software sin licencia válida, software de prueba ("trial") no aprobado, herramientas de administración remota no autorizadas, clientes P2P, software de minería, VPNs no corporativas y herramientas de anonimización.</w:t>
      </w:r>
    </w:p>
    <w:p>
      <w:pPr>
        <w:spacing w:after="40"/>
      </w:pPr>
      <w:r>
        <w:rPr>
          <w:sz w:val="22"/>
        </w:rPr>
        <w:t>• El software no autorizado detectado en auditoría debe ser desinstalado dentro de las 24 horas de su identificación.</w:t>
      </w:r>
    </w:p>
    <w:p>
      <w:pPr>
        <w:spacing w:after="40"/>
      </w:pPr>
      <w:r>
        <w:rPr>
          <w:sz w:val="22"/>
        </w:rPr>
        <w:t>• Gerencia TI puede aplicar controles técnicos (AppLocker, listas blancas) para prevenir la instalación no autorizada.</w:t>
      </w:r>
    </w:p>
    <w:p>
      <w:pPr>
        <w:spacing w:before="140"/>
      </w:pPr>
      <w:r>
        <w:rPr>
          <w:b/>
          <w:color w:val="2E74B5"/>
          <w:sz w:val="22"/>
        </w:rPr>
        <w:t>5.3 Antivirus / EDR — estándares mínimos</w:t>
      </w:r>
    </w:p>
    <w:p>
      <w:pPr>
        <w:spacing w:after="40"/>
      </w:pPr>
      <w:r>
        <w:rPr>
          <w:sz w:val="22"/>
        </w:rPr>
        <w:t>Todo sistema gestionado por NovaRetail debe contar con la solución de protección de endpoint aprobada por el CISO, correctamente configurada y actualizada:</w:t>
      </w:r>
    </w:p>
    <w:tbl>
      <w:tblPr>
        <w:tblStyle w:val="TableGrid"/>
        <w:tblW w:type="auto" w:w="0"/>
        <w:tblLook w:firstColumn="1" w:firstRow="1" w:lastColumn="0" w:lastRow="0" w:noHBand="0" w:noVBand="1" w:val="04A0"/>
      </w:tblPr>
      <w:tblGrid>
        <w:gridCol w:w="2835"/>
        <w:gridCol w:w="3118"/>
        <w:gridCol w:w="3118"/>
      </w:tblGrid>
      <w:tr>
        <w:tc>
          <w:tcPr>
            <w:tcW w:type="dxa" w:w="2835"/>
            <w:shd w:val="clear" w:color="auto" w:fill="1F3864"/>
          </w:tcPr>
          <w:p>
            <w:r>
              <w:rPr>
                <w:b/>
                <w:color w:val="FFFFFF"/>
                <w:sz w:val="20"/>
              </w:rPr>
              <w:t>Requisito</w:t>
            </w:r>
          </w:p>
        </w:tc>
        <w:tc>
          <w:tcPr>
            <w:tcW w:type="dxa" w:w="3118"/>
            <w:shd w:val="clear" w:color="auto" w:fill="1F3864"/>
          </w:tcPr>
          <w:p>
            <w:r>
              <w:rPr>
                <w:b/>
                <w:color w:val="FFFFFF"/>
                <w:sz w:val="20"/>
              </w:rPr>
              <w:t>Estándar mínimo</w:t>
            </w:r>
          </w:p>
        </w:tc>
        <w:tc>
          <w:tcPr>
            <w:tcW w:type="dxa" w:w="3118"/>
            <w:shd w:val="clear" w:color="auto" w:fill="1F3864"/>
          </w:tcPr>
          <w:p>
            <w:r>
              <w:rPr>
                <w:b/>
                <w:color w:val="FFFFFF"/>
                <w:sz w:val="20"/>
              </w:rPr>
              <w:t>Consecuencia de incumplimiento</w:t>
            </w:r>
          </w:p>
        </w:tc>
      </w:tr>
      <w:tr>
        <w:tc>
          <w:tcPr>
            <w:tcW w:type="dxa" w:w="2835"/>
          </w:tcPr>
          <w:p>
            <w:r>
              <w:rPr>
                <w:sz w:val="20"/>
              </w:rPr>
              <w:t>Herramienta autorizada</w:t>
            </w:r>
          </w:p>
        </w:tc>
        <w:tc>
          <w:tcPr>
            <w:tcW w:type="dxa" w:w="3118"/>
          </w:tcPr>
          <w:p>
            <w:r>
              <w:rPr>
                <w:sz w:val="20"/>
              </w:rPr>
              <w:t>EDR corporativo aprobado por CISO (con consola centralizada)</w:t>
            </w:r>
          </w:p>
        </w:tc>
        <w:tc>
          <w:tcPr>
            <w:tcW w:type="dxa" w:w="3118"/>
          </w:tcPr>
          <w:p>
            <w:r>
              <w:rPr>
                <w:sz w:val="20"/>
              </w:rPr>
              <w:t>El equipo no puede conectarse a la red corporativa hasta instalación.</w:t>
            </w:r>
          </w:p>
        </w:tc>
      </w:tr>
      <w:tr>
        <w:tc>
          <w:tcPr>
            <w:tcW w:type="dxa" w:w="2835"/>
          </w:tcPr>
          <w:p>
            <w:r>
              <w:rPr>
                <w:sz w:val="20"/>
              </w:rPr>
              <w:t>Actualización de definiciones</w:t>
            </w:r>
          </w:p>
        </w:tc>
        <w:tc>
          <w:tcPr>
            <w:tcW w:type="dxa" w:w="3118"/>
          </w:tcPr>
          <w:p>
            <w:r>
              <w:rPr>
                <w:sz w:val="20"/>
              </w:rPr>
              <w:t>Actualización automática cada 4 horas máximo</w:t>
            </w:r>
          </w:p>
        </w:tc>
        <w:tc>
          <w:tcPr>
            <w:tcW w:type="dxa" w:w="3118"/>
          </w:tcPr>
          <w:p>
            <w:r>
              <w:rPr>
                <w:sz w:val="20"/>
              </w:rPr>
              <w:t>Alerta automática en consola EDR; Gerencia TI actualiza manualmente en 2 horas.</w:t>
            </w:r>
          </w:p>
        </w:tc>
      </w:tr>
      <w:tr>
        <w:tc>
          <w:tcPr>
            <w:tcW w:type="dxa" w:w="2835"/>
          </w:tcPr>
          <w:p>
            <w:r>
              <w:rPr>
                <w:sz w:val="20"/>
              </w:rPr>
              <w:t>Escaneo programado</w:t>
            </w:r>
          </w:p>
        </w:tc>
        <w:tc>
          <w:tcPr>
            <w:tcW w:type="dxa" w:w="3118"/>
          </w:tcPr>
          <w:p>
            <w:r>
              <w:rPr>
                <w:sz w:val="20"/>
              </w:rPr>
              <w:t>Escaneo completo semanal (domingo 03:00 h)</w:t>
            </w:r>
          </w:p>
        </w:tc>
        <w:tc>
          <w:tcPr>
            <w:tcW w:type="dxa" w:w="3118"/>
          </w:tcPr>
          <w:p>
            <w:r>
              <w:rPr>
                <w:sz w:val="20"/>
              </w:rPr>
              <w:t>Gerencia TI ejecuta escaneo manual si el programado falla.</w:t>
            </w:r>
          </w:p>
        </w:tc>
      </w:tr>
      <w:tr>
        <w:tc>
          <w:tcPr>
            <w:tcW w:type="dxa" w:w="2835"/>
          </w:tcPr>
          <w:p>
            <w:r>
              <w:rPr>
                <w:sz w:val="20"/>
              </w:rPr>
              <w:t>Protección en tiempo real</w:t>
            </w:r>
          </w:p>
        </w:tc>
        <w:tc>
          <w:tcPr>
            <w:tcW w:type="dxa" w:w="3118"/>
          </w:tcPr>
          <w:p>
            <w:r>
              <w:rPr>
                <w:sz w:val="20"/>
              </w:rPr>
              <w:t>Habilitada permanentemente; no puede desactivarse por el usuario</w:t>
            </w:r>
          </w:p>
        </w:tc>
        <w:tc>
          <w:tcPr>
            <w:tcW w:type="dxa" w:w="3118"/>
          </w:tcPr>
          <w:p>
            <w:r>
              <w:rPr>
                <w:sz w:val="20"/>
              </w:rPr>
              <w:t>Desactivación requiere aprobación del CISO y ventana máxima de 4 horas.</w:t>
            </w:r>
          </w:p>
        </w:tc>
      </w:tr>
      <w:tr>
        <w:tc>
          <w:tcPr>
            <w:tcW w:type="dxa" w:w="2835"/>
          </w:tcPr>
          <w:p>
            <w:r>
              <w:rPr>
                <w:sz w:val="20"/>
              </w:rPr>
              <w:t>Cobertura mínima</w:t>
            </w:r>
          </w:p>
        </w:tc>
        <w:tc>
          <w:tcPr>
            <w:tcW w:type="dxa" w:w="3118"/>
          </w:tcPr>
          <w:p>
            <w:r>
              <w:rPr>
                <w:sz w:val="20"/>
              </w:rPr>
              <w:t>100% de endpoints gestionados por TI</w:t>
            </w:r>
          </w:p>
        </w:tc>
        <w:tc>
          <w:tcPr>
            <w:tcW w:type="dxa" w:w="3118"/>
          </w:tcPr>
          <w:p>
            <w:r>
              <w:rPr>
                <w:sz w:val="20"/>
              </w:rPr>
              <w:t>Equipos sin EDR son aislados de la red hasta su instalación.</w:t>
            </w:r>
          </w:p>
        </w:tc>
      </w:tr>
    </w:tbl>
    <w:p>
      <w:pPr>
        <w:spacing w:before="140"/>
      </w:pPr>
      <w:r>
        <w:rPr>
          <w:b/>
          <w:color w:val="2E74B5"/>
          <w:sz w:val="22"/>
        </w:rPr>
        <w:t>5.4 Gestión de licencias de software</w:t>
      </w:r>
    </w:p>
    <w:p>
      <w:pPr>
        <w:spacing w:after="40"/>
      </w:pPr>
      <w:r>
        <w:rPr>
          <w:sz w:val="22"/>
        </w:rPr>
        <w:t>• Gerencia TI mantiene el Registro de Licencias (RL) con: producto, proveedor, tipo de licencia, cantidad, fecha de vencimiento y costo.</w:t>
      </w:r>
    </w:p>
    <w:p>
      <w:pPr>
        <w:spacing w:after="40"/>
      </w:pPr>
      <w:r>
        <w:rPr>
          <w:sz w:val="22"/>
        </w:rPr>
        <w:t>• El uso de software sin licencia válida está estrictamente prohibido y puede derivar en responsabilidad legal para NovaRetail SpA.</w:t>
      </w:r>
    </w:p>
    <w:p>
      <w:pPr>
        <w:spacing w:after="40"/>
      </w:pPr>
      <w:r>
        <w:rPr>
          <w:sz w:val="22"/>
        </w:rPr>
        <w:t>• Las licencias próximas a vencer (con 60 días de anticipación) son gestionadas por Gerencia TI con alerta al CISO y Gerencia General para aprobación de renovación o sustitución.</w:t>
      </w:r>
    </w:p>
    <w:p>
      <w:pPr>
        <w:spacing w:after="40"/>
      </w:pPr>
      <w:r>
        <w:rPr>
          <w:sz w:val="22"/>
        </w:rPr>
        <w:t>• La instalación de software en más equipos de los que cubre la licencia ("overlicensing illegal") es igual de prohibida que el uso sin licencia.</w:t>
      </w:r>
    </w:p>
    <w:p>
      <w:pPr>
        <w:spacing w:after="40"/>
      </w:pPr>
      <w:r>
        <w:rPr>
          <w:sz w:val="22"/>
        </w:rPr>
        <w:t>• Gerencia TI realiza una auditoría de cumplimiento de licencias al menos semestralmente, comparando el RL contra el software instalado detectado por la herramienta de inventario.</w:t>
      </w:r>
    </w:p>
    <w:p>
      <w:pPr>
        <w:spacing w:before="140"/>
      </w:pPr>
      <w:r>
        <w:rPr>
          <w:b/>
          <w:color w:val="2E74B5"/>
          <w:sz w:val="22"/>
        </w:rPr>
        <w:t>5.5 Actualizaciones de la línea base</w:t>
      </w:r>
    </w:p>
    <w:p>
      <w:pPr>
        <w:spacing w:after="40"/>
      </w:pPr>
      <w:r>
        <w:rPr>
          <w:sz w:val="22"/>
        </w:rPr>
        <w:t>• La línea base de software se revisa y actualiza como mínimo anualmente, o cuando: se publica un nuevo CIS Benchmark relevante, una vulnerabilidad crítica exige cambiar la configuración, o se aprueba un nuevo software corporativo.</w:t>
      </w:r>
    </w:p>
    <w:p>
      <w:pPr>
        <w:spacing w:after="40"/>
      </w:pPr>
      <w:r>
        <w:rPr>
          <w:sz w:val="22"/>
        </w:rPr>
        <w:t>• Los cambios a la línea base siguen el proceso de gestión de cambios: ticket ITSM, prueba en entorno no productivo, aprobación del CISO, despliegue mediante Ansible (PROC-SGSI-04).</w:t>
      </w:r>
    </w:p>
    <w:p>
      <w:pPr>
        <w:spacing w:after="40"/>
      </w:pPr>
      <w:r>
        <w:rPr>
          <w:sz w:val="22"/>
        </w:rPr>
        <w:t>• Los cambios se versionan en el repositorio Git de Gerencia TI con commit firmado.</w:t>
      </w:r>
    </w:p>
    <w:p>
      <w:pPr>
        <w:spacing w:before="140"/>
      </w:pPr>
      <w:r>
        <w:rPr>
          <w:b/>
          <w:color w:val="2E74B5"/>
          <w:sz w:val="22"/>
        </w:rPr>
        <w:t>5.6 Auditoría de cumplimiento</w:t>
      </w:r>
    </w:p>
    <w:p>
      <w:pPr>
        <w:spacing w:after="40"/>
      </w:pPr>
      <w:r>
        <w:rPr>
          <w:sz w:val="22"/>
        </w:rPr>
        <w:t>• Gerencia TI ejecuta mensualmente una auditoría automática del estado de la línea base usando herramientas open source (OpenSCAP, Lynis, Ansible check mode) conforme a PROC-SGSI-04.</w:t>
      </w:r>
    </w:p>
    <w:p>
      <w:pPr>
        <w:spacing w:after="40"/>
      </w:pPr>
      <w:r>
        <w:rPr>
          <w:sz w:val="22"/>
        </w:rPr>
        <w:t>• Los resultados se clasifican: Conforme (≥95%), Parcial (80–94%), No conforme (&lt;80%).</w:t>
      </w:r>
    </w:p>
    <w:p>
      <w:pPr>
        <w:spacing w:after="40"/>
      </w:pPr>
      <w:r>
        <w:rPr>
          <w:sz w:val="22"/>
        </w:rPr>
        <w:t>• Los sistemas No conformes se remedian en ≤7 días; los Parciales en ≤30 días.</w:t>
      </w:r>
    </w:p>
    <w:p>
      <w:pPr>
        <w:spacing w:after="40"/>
      </w:pPr>
      <w:r>
        <w:rPr>
          <w:sz w:val="22"/>
        </w:rPr>
        <w:t>• El informe mensual de cumplimiento es presentado al CISO.</w:t>
      </w:r>
    </w:p>
    <w:p>
      <w:pPr>
        <w:spacing w:before="200" w:after="80"/>
      </w:pPr>
      <w:r>
        <w:rPr>
          <w:b/>
          <w:color w:val="1F3864"/>
          <w:sz w:val="26"/>
        </w:rPr>
        <w:t>6. Incumplimientos</w:t>
      </w:r>
    </w:p>
    <w:p>
      <w:pPr>
        <w:spacing w:after="40"/>
      </w:pPr>
      <w:r>
        <w:rPr>
          <w:sz w:val="22"/>
        </w:rPr>
        <w:t>Todo incumplimiento a esta política deberá ser reportado al CISO y gestionado conforme al procedimiento interno de gestión de incidentes y al reglamento interno de NovaRetail SpA. La instalación de software no autorizado o sin licencia puede derivar en medidas disciplinarias y en responsabilidad legal de la empresa.</w:t>
      </w:r>
    </w:p>
    <w:p>
      <w:pPr>
        <w:spacing w:before="200" w:after="80"/>
      </w:pPr>
      <w:r>
        <w:rPr>
          <w:b/>
          <w:color w:val="1F3864"/>
          <w:sz w:val="26"/>
        </w:rPr>
        <w:t>7. Documentos relacionados</w:t>
      </w:r>
    </w:p>
    <w:p>
      <w:r>
        <w:rPr>
          <w:b/>
        </w:rPr>
        <w:t xml:space="preserve">Procedimiento(s) vinculado(s): </w:t>
      </w:r>
      <w:hyperlink r:id="rIdLnk1" w:history="1">
        <w:r>
          <w:rPr>
            <w:color w:val="0563C1"/>
            <w:u w:val="single"/>
          </w:rPr>
          <w:t xml:space="preserve">PROC-SGSI-04 — Procedimiento de línea base de software (Ansible)</w:t>
        </w:r>
      </w:hyperlink>
      <w:r>
        <w:t xml:space="preserve"> · </w:t>
      </w:r>
      <w:hyperlink r:id="rIdLnkB1" w:history="1">
        <w:r>
          <w:rPr>
            <w:color w:val="0563C1"/>
            <w:u w:val="single"/>
          </w:rPr>
          <w:t xml:space="preserve">PROC-SGSI-15 — Procedimiento de desarrollo seguro (SDLC)</w:t>
        </w:r>
      </w:hyperlink>
    </w:p>
    <w:p>
      <w:pPr>
        <w:spacing w:after="40"/>
      </w:pPr>
      <w:r>
        <w:rPr>
          <w:sz w:val="22"/>
        </w:rPr>
        <w:t>• PROC-SGSI-04 — Procedimiento de línea base de software (Ansible)</w:t>
      </w:r>
    </w:p>
    <w:p>
      <w:pPr>
        <w:spacing w:after="40"/>
      </w:pPr>
      <w:r>
        <w:rPr>
          <w:sz w:val="22"/>
        </w:rPr>
        <w:t>• PROC-SGSI-01 — Procedimiento de gestión de actualizaciones y parches</w:t>
      </w:r>
    </w:p>
    <w:p>
      <w:pPr>
        <w:spacing w:after="40"/>
      </w:pPr>
      <w:r>
        <w:rPr>
          <w:sz w:val="22"/>
        </w:rPr>
        <w:t>• PROC-SGSI-11 — Procedimiento de escaneo de vulnerabilidades</w:t>
      </w:r>
    </w:p>
    <w:p>
      <w:pPr>
        <w:spacing w:after="40"/>
      </w:pPr>
      <w:r>
        <w:rPr>
          <w:sz w:val="22"/>
        </w:rPr>
        <w:t>• POL-SGSI-04 — Política de protección contra malware</w:t>
      </w:r>
    </w:p>
    <w:p>
      <w:pPr>
        <w:spacing w:after="40"/>
      </w:pPr>
      <w:r>
        <w:rPr>
          <w:sz w:val="22"/>
        </w:rPr>
        <w:t>• POL-SGSI-05 — Política de gestión de parches y actualizaciones</w:t>
      </w:r>
    </w:p>
    <w:p>
      <w:pPr>
        <w:spacing w:after="40"/>
      </w:pPr>
      <w:r>
        <w:rPr>
          <w:sz w:val="22"/>
        </w:rPr>
        <w:t>• POL-SGSI-06 — Política de uso seguro de dispositivos</w:t>
      </w:r>
    </w:p>
    <w:p>
      <w:pPr>
        <w:spacing w:after="40"/>
      </w:pPr>
      <w:r>
        <w:rPr>
          <w:sz w:val="22"/>
        </w:rPr>
        <w:t>• SoA – controles 8.8, 8.9, 8.19 (ISO/IEC 27001:2022)</w:t>
      </w:r>
    </w:p>
    <w:p>
      <w:pPr>
        <w:spacing w:after="40"/>
      </w:pPr>
      <w:r>
        <w:rPr>
          <w:sz w:val="22"/>
        </w:rPr>
        <w:t>• CIS Benchmarks — https://www.cisecurity.org/cis-benchmarks</w:t>
      </w:r>
    </w:p>
    <w:p>
      <w:pPr>
        <w:spacing w:after="40"/>
      </w:pPr>
      <w:r>
        <w:rPr>
          <w:sz w:val="22"/>
        </w:rPr>
        <w:t>• Matriz de riesgos (R-04, R-09, R-15, R-17)</w:t>
      </w:r>
    </w:p>
    <w:p>
      <w:pPr>
        <w:spacing w:before="200" w:after="80"/>
      </w:pPr>
      <w:r>
        <w:rPr>
          <w:b/>
          <w:color w:val="1F3864"/>
          <w:sz w:val="26"/>
        </w:rPr>
        <w:t>8. Control de cambios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BDD7EE"/>
          </w:tcPr>
          <w:p>
            <w:r>
              <w:rPr>
                <w:b/>
                <w:color w:val="000000"/>
                <w:sz w:val="20"/>
              </w:rPr>
              <w:t>Versión</w:t>
            </w:r>
          </w:p>
        </w:tc>
        <w:tc>
          <w:tcPr>
            <w:tcW w:type="dxa" w:w="2280"/>
            <w:shd w:val="clear" w:color="auto" w:fill="BDD7EE"/>
          </w:tcPr>
          <w:p>
            <w:r>
              <w:rPr>
                <w:b/>
                <w:color w:val="000000"/>
                <w:sz w:val="20"/>
              </w:rPr>
              <w:t>Fecha</w:t>
            </w:r>
          </w:p>
        </w:tc>
        <w:tc>
          <w:tcPr>
            <w:tcW w:type="dxa" w:w="2280"/>
            <w:shd w:val="clear" w:color="auto" w:fill="BDD7EE"/>
          </w:tcPr>
          <w:p>
            <w:r>
              <w:rPr>
                <w:b/>
                <w:color w:val="000000"/>
                <w:sz w:val="20"/>
              </w:rPr>
              <w:t>Descripción del cambio</w:t>
            </w:r>
          </w:p>
        </w:tc>
        <w:tc>
          <w:tcPr>
            <w:tcW w:type="dxa" w:w="2280"/>
            <w:shd w:val="clear" w:color="auto" w:fill="BDD7EE"/>
          </w:tcPr>
          <w:p>
            <w:r>
              <w:rPr>
                <w:b/>
                <w:color w:val="000000"/>
                <w:sz w:val="20"/>
              </w:rPr>
              <w:t>Responsable</w:t>
            </w:r>
          </w:p>
        </w:tc>
      </w:tr>
      <w:tr>
        <w:tc>
          <w:tcPr>
            <w:tcW w:type="dxa" w:w="2280"/>
          </w:tcPr>
          <w:p>
            <w:r>
              <w:rPr>
                <w:sz w:val="20"/>
              </w:rPr>
              <w:t>1.0</w:t>
            </w:r>
          </w:p>
        </w:tc>
        <w:tc>
          <w:tcPr>
            <w:tcW w:type="dxa" w:w="2280"/>
          </w:tcPr>
          <w:p>
            <w:r>
              <w:rPr>
                <w:sz w:val="20"/>
              </w:rPr>
              <w:t>22-04-2026</w:t>
            </w:r>
          </w:p>
        </w:tc>
        <w:tc>
          <w:tcPr>
            <w:tcW w:type="dxa" w:w="2280"/>
          </w:tcPr>
          <w:p>
            <w:r>
              <w:rPr>
                <w:sz w:val="20"/>
              </w:rPr>
              <w:t>Emisión inicial del documento</w:t>
            </w:r>
          </w:p>
        </w:tc>
        <w:tc>
          <w:tcPr>
            <w:tcW w:type="dxa" w:w="2280"/>
          </w:tcPr>
          <w:p>
            <w:r>
              <w:rPr>
                <w:sz w:val="20"/>
              </w:rPr>
              <w:t>Equipo SGSI NovaRetail</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Lnk1" Type="http://schemas.openxmlformats.org/officeDocument/2006/relationships/hyperlink" Target="../02-procedimientos/PROC-SGSI-04%20-%20Procedimiento%20de%20l%C3%ADnea%20base%20de%20software%20%28Ansible%29.docx" TargetMode="External"/><Relationship Id="rIdLnkB1" Type="http://schemas.openxmlformats.org/officeDocument/2006/relationships/hyperlink" Target="../02-procedimientos/PROC-SGSI-15%20-%20Procedimiento%20de%20desarrollo%20seguro%20%28SDLC%29.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157D06D9BF21845883178A07635BF0C" ma:contentTypeVersion="10" ma:contentTypeDescription="Crear nuevo documento." ma:contentTypeScope="" ma:versionID="575d623067b72151a8374f2b990c1272">
  <xsd:schema xmlns:xsd="http://www.w3.org/2001/XMLSchema" xmlns:xs="http://www.w3.org/2001/XMLSchema" xmlns:p="http://schemas.microsoft.com/office/2006/metadata/properties" xmlns:ns2="ba7224a4-a1e3-4c3e-badf-085058869b86" xmlns:ns3="4fc427ff-965a-4fb4-bd01-7c253ae8b03b" targetNamespace="http://schemas.microsoft.com/office/2006/metadata/properties" ma:root="true" ma:fieldsID="53e290cc238b21a49accbbf14491a7b2" ns2:_="" ns3:_="">
    <xsd:import namespace="ba7224a4-a1e3-4c3e-badf-085058869b86"/>
    <xsd:import namespace="4fc427ff-965a-4fb4-bd01-7c253ae8b0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7224a4-a1e3-4c3e-badf-085058869b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e777c97-9e47-4338-8e8a-2390167a35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c427ff-965a-4fb4-bd01-7c253ae8b0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247468-c4c7-4c67-a550-c3fa8442b9ab}" ma:internalName="TaxCatchAll" ma:showField="CatchAllData" ma:web="4fc427ff-965a-4fb4-bd01-7c253ae8b0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7224a4-a1e3-4c3e-badf-085058869b86">
      <Terms xmlns="http://schemas.microsoft.com/office/infopath/2007/PartnerControls"/>
    </lcf76f155ced4ddcb4097134ff3c332f>
    <TaxCatchAll xmlns="4fc427ff-965a-4fb4-bd01-7c253ae8b03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F62AF5-E06C-45AC-9014-2AC2579A618D}"/>
</file>

<file path=customXml/itemProps3.xml><?xml version="1.0" encoding="utf-8"?>
<ds:datastoreItem xmlns:ds="http://schemas.openxmlformats.org/officeDocument/2006/customXml" ds:itemID="{77EF8F6C-8184-4EBA-9B2D-3DC678230B80}"/>
</file>

<file path=customXml/itemProps4.xml><?xml version="1.0" encoding="utf-8"?>
<ds:datastoreItem xmlns:ds="http://schemas.openxmlformats.org/officeDocument/2006/customXml" ds:itemID="{54457ADF-B270-4E58-B7FE-5F3D65B2B1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0x010100F157D06D9BF21845883178A07635BF0C</vt:lpwstr>
  </property>
</Properties>
</file>