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PROC-SGSI-05 — Procedimiento operativo de gestión de incidentes y reporte ANCI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POL-SGSI-11 — Gestión de incidentes y reporte ANCI</w:t>
              <w:br/>
              <w:t>Ley N° 21.663 — Ley Marco de Ciberseguridad (2024)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Proveer las instrucciones paso a paso para que el Equipo de Respuesta a Incidentes (ERI) de NovaRetail SpA gestione un incidente de ciberseguridad desde su detección hasta el cierre, incluyendo los formularios de reporte a la Agencia Nacional de Ciberseguridad (ANCI) y los checklists de verificación de plazos exigidos por la Ley N° 21.663.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todos los incidentes de ciberseguridad de Nivel 2 y Nivel 3 según la clasificación de POL-SGSI-11. Los incidentes N3 activan adicionalmente el proceso de reporte obligatorio a ANCI.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Analista ERI (turno)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Recibe la alerta, realiza triage inicial, abre el ticket y ejecuta la contención.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Líder ERI / 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Clasifica el nivel del incidente, coordina la respuesta, autoriza los reportes ANCI y firma los formularios.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DBA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Gestiona la contención y recuperación de bases de datos afectadas.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Provee recursos y accesos necesarios. Coordina la restauración de servicios.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Legal / RRHH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Activados si el incidente involucra datos personales o empleados.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FASE 1 — Detección y triage (0–30 minutos)</w:t>
      </w:r>
    </w:p>
    <w:p>
      <w:pPr>
        <w:spacing w:after="40"/>
      </w:pPr>
      <w:r>
        <w:rPr>
          <w:sz w:val="22"/>
        </w:rPr>
        <w:t>Checklist del Analista ERI de turno:</w:t>
      </w:r>
    </w:p>
    <w:p>
      <w:pPr>
        <w:spacing w:after="40"/>
      </w:pPr>
      <w:r>
        <w:rPr>
          <w:sz w:val="22"/>
        </w:rPr>
        <w:t xml:space="preserve">    [ ] Recibir alerta (sistema de monitoreo, usuario, proveedor, CSIRT Chile).</w:t>
      </w:r>
    </w:p>
    <w:p>
      <w:pPr>
        <w:spacing w:after="40"/>
      </w:pPr>
      <w:r>
        <w:rPr>
          <w:sz w:val="22"/>
        </w:rPr>
        <w:t xml:space="preserve">    [ ] Abrir ticket en ITSM: categoría "Incidente de Seguridad", asignar a ERI.</w:t>
      </w:r>
    </w:p>
    <w:p>
      <w:pPr>
        <w:spacing w:after="40"/>
      </w:pPr>
      <w:r>
        <w:rPr>
          <w:sz w:val="22"/>
        </w:rPr>
        <w:t xml:space="preserve">    [ ] Registrar timestamp exacto de detección (hora UTC y hora local).</w:t>
      </w:r>
    </w:p>
    <w:p>
      <w:pPr>
        <w:spacing w:after="40"/>
      </w:pPr>
      <w:r>
        <w:rPr>
          <w:sz w:val="22"/>
        </w:rPr>
        <w:t xml:space="preserve">    [ ] Realizar triage: ¿cuántos sistemas afectados? ¿hay datos comprometidos? ¿sigue activo el ataque?</w:t>
      </w:r>
    </w:p>
    <w:p>
      <w:pPr>
        <w:spacing w:after="40"/>
      </w:pPr>
      <w:r>
        <w:rPr>
          <w:sz w:val="22"/>
        </w:rPr>
        <w:t xml:space="preserve">    [ ] Clasificar nivel: N1 / N2 / N3 según criterios de POL-SGSI-11.</w:t>
      </w:r>
    </w:p>
    <w:p>
      <w:pPr>
        <w:spacing w:after="40"/>
      </w:pPr>
      <w:r>
        <w:rPr>
          <w:sz w:val="22"/>
        </w:rPr>
        <w:t xml:space="preserve">    [ ] Si N3: notificar al CISO de inmediato (llamada directa, no solo correo).</w:t>
      </w:r>
    </w:p>
    <w:p>
      <w:pPr>
        <w:spacing w:after="40"/>
      </w:pPr>
      <w:r>
        <w:rPr>
          <w:sz w:val="22"/>
        </w:rPr>
        <w:t xml:space="preserve">    [ ] Iniciar el registro cronológico del incidente (log de actividades con timestamp por acción).</w:t>
      </w:r>
    </w:p>
    <w:p>
      <w:pPr>
        <w:spacing w:before="140"/>
      </w:pPr>
      <w:r>
        <w:rPr>
          <w:b/>
          <w:color w:val="2E74B5"/>
          <w:sz w:val="22"/>
        </w:rPr>
        <w:t>FASE 2 — Contención (30 min – 3 horas)</w:t>
      </w:r>
    </w:p>
    <w:p>
      <w:pPr>
        <w:spacing w:after="40"/>
      </w:pPr>
      <w:r>
        <w:rPr>
          <w:sz w:val="22"/>
        </w:rPr>
        <w:t>Checklist de contención:</w:t>
      </w:r>
    </w:p>
    <w:p>
      <w:pPr>
        <w:spacing w:after="40"/>
      </w:pPr>
      <w:r>
        <w:rPr>
          <w:sz w:val="22"/>
        </w:rPr>
        <w:t xml:space="preserve">    [ ] Aislar sistemas afectados (desconexión de red, bloqueo de cuentas comprometidas).</w:t>
      </w:r>
    </w:p>
    <w:p>
      <w:pPr>
        <w:spacing w:after="40"/>
      </w:pPr>
      <w:r>
        <w:rPr>
          <w:sz w:val="22"/>
        </w:rPr>
        <w:t xml:space="preserve">    [ ] Preservar evidencia ANTES de cualquier intervención:</w:t>
      </w:r>
    </w:p>
    <w:p>
      <w:pPr>
        <w:spacing w:after="40"/>
      </w:pPr>
      <w:r>
        <w:rPr>
          <w:sz w:val="22"/>
        </w:rPr>
        <w:t xml:space="preserve">           – Capturar imagen de memoria RAM si el sistema sigue encendido.</w:t>
      </w:r>
    </w:p>
    <w:p>
      <w:pPr>
        <w:spacing w:after="40"/>
      </w:pPr>
      <w:r>
        <w:rPr>
          <w:sz w:val="22"/>
        </w:rPr>
        <w:t xml:space="preserve">           – Exportar logs relevantes a repositorio inmutable.</w:t>
      </w:r>
    </w:p>
    <w:p>
      <w:pPr>
        <w:spacing w:after="40"/>
      </w:pPr>
      <w:r>
        <w:rPr>
          <w:sz w:val="22"/>
        </w:rPr>
        <w:t xml:space="preserve">           – Calcular hash SHA-256 de cada archivo de evidencia y registrarlo en el formulario de cadena de custodia.</w:t>
      </w:r>
    </w:p>
    <w:p>
      <w:pPr>
        <w:spacing w:after="40"/>
      </w:pPr>
      <w:r>
        <w:rPr>
          <w:sz w:val="22"/>
        </w:rPr>
        <w:t xml:space="preserve">    [ ] Verificar si el vector de ataque sigue activo y bloquearlo (regla de firewall, bloqueo de IP, revocar credencial).</w:t>
      </w:r>
    </w:p>
    <w:p>
      <w:pPr>
        <w:spacing w:after="40"/>
      </w:pPr>
      <w:r>
        <w:rPr>
          <w:sz w:val="22"/>
        </w:rPr>
        <w:t xml:space="preserve">    [ ] Si N3: enviar ALERTA TEMPRANA a ANCI antes de cumplirse 3 horas desde la detección.</w:t>
      </w:r>
    </w:p>
    <w:p/>
    <w:p>
      <w:r>
        <w:rPr>
          <w:b/>
          <w:color w:val="C00000"/>
          <w:sz w:val="22"/>
        </w:rPr>
        <w:t>RELOJ ANCI — Plazos obligatorios (Ley N° 21.663, art. 23–24)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701"/>
        <w:gridCol w:w="2268"/>
        <w:gridCol w:w="3118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Reporte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Plazo desde detección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Contenido mínimo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Alerta temprana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≤ 3 horas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CISO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Notificación de incidente significativo en curso. Puede ser preliminar.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Actualización (2.º reporte)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≤ 72 horas (24 h si OIV afecta un servicio esencial)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CISO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Sistemas afectados, impacto estimado, acciones de contención adoptadas.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Informe final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≤ 15 días corridos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CISO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Causa raíz, cronología completa, datos comprometidos, medidas de erradicación y plan de mejora.</w:t>
            </w:r>
          </w:p>
        </w:tc>
      </w:tr>
    </w:tbl>
    <w:p/>
    <w:p>
      <w:pPr>
        <w:spacing w:before="140"/>
      </w:pPr>
      <w:r>
        <w:rPr>
          <w:b/>
          <w:color w:val="2E74B5"/>
          <w:sz w:val="22"/>
        </w:rPr>
        <w:t>FASE 3 — Análisis y erradicación (3–72 horas)</w:t>
      </w:r>
    </w:p>
    <w:p>
      <w:pPr>
        <w:spacing w:after="40"/>
      </w:pPr>
      <w:r>
        <w:rPr>
          <w:sz w:val="22"/>
        </w:rPr>
        <w:t>Checklist de análisis:</w:t>
      </w:r>
    </w:p>
    <w:p>
      <w:pPr>
        <w:spacing w:after="40"/>
      </w:pPr>
      <w:r>
        <w:rPr>
          <w:sz w:val="22"/>
        </w:rPr>
        <w:t xml:space="preserve">    [ ] Determinar causa raíz: CVE explotado, credencial comprometida, error de configuración, ingeniería social.</w:t>
      </w:r>
    </w:p>
    <w:p>
      <w:pPr>
        <w:spacing w:after="40"/>
      </w:pPr>
      <w:r>
        <w:rPr>
          <w:sz w:val="22"/>
        </w:rPr>
        <w:t xml:space="preserve">    [ ] Identificar alcance exacto: sistemas afectados, datos potencialmente comprometidos (tipo, volumen, titulares).</w:t>
      </w:r>
    </w:p>
    <w:p>
      <w:pPr>
        <w:spacing w:after="40"/>
      </w:pPr>
      <w:r>
        <w:rPr>
          <w:sz w:val="22"/>
        </w:rPr>
        <w:t xml:space="preserve">    [ ] ¿Involucra datos personales (Ley 19.628)? → Notificar a Legal para evaluar obligación de aviso a titulares.</w:t>
      </w:r>
    </w:p>
    <w:p>
      <w:pPr>
        <w:spacing w:after="40"/>
      </w:pPr>
      <w:r>
        <w:rPr>
          <w:sz w:val="22"/>
        </w:rPr>
        <w:t xml:space="preserve">    [ ] ¿Involucra datos PCI? → Notificar a la marca de tarjeta y adquirente según contrato PCI DSS.</w:t>
      </w:r>
    </w:p>
    <w:p>
      <w:pPr>
        <w:spacing w:after="40"/>
      </w:pPr>
      <w:r>
        <w:rPr>
          <w:sz w:val="22"/>
        </w:rPr>
        <w:t xml:space="preserve">    [ ] Erradicar el vector: eliminar malware, revocar cuentas, parchear vulnerabilidad explotada.</w:t>
      </w:r>
    </w:p>
    <w:p>
      <w:pPr>
        <w:spacing w:after="40"/>
      </w:pPr>
      <w:r>
        <w:rPr>
          <w:sz w:val="22"/>
        </w:rPr>
        <w:t xml:space="preserve">    [ ] Enviar la ACTUALIZACIÓN (2.º reporte) a ANCI antes de cumplirse 72 horas desde la detección (24 h si OIV afecta un servicio esencial).</w:t>
      </w:r>
    </w:p>
    <w:p>
      <w:pPr>
        <w:spacing w:after="40"/>
      </w:pPr>
      <w:r>
        <w:rPr>
          <w:sz w:val="22"/>
        </w:rPr>
        <w:t xml:space="preserve">    [ ] Preparar y enviar el INFORME FINAL a ANCI dentro de 15 días corridos desde la alerta temprana.</w:t>
      </w:r>
    </w:p>
    <w:p>
      <w:pPr>
        <w:spacing w:before="140"/>
      </w:pPr>
      <w:r>
        <w:rPr>
          <w:b/>
          <w:color w:val="2E74B5"/>
          <w:sz w:val="22"/>
        </w:rPr>
        <w:t>FASE 4 — Recuperación</w:t>
      </w:r>
    </w:p>
    <w:p>
      <w:pPr>
        <w:spacing w:after="40"/>
      </w:pPr>
      <w:r>
        <w:rPr>
          <w:sz w:val="22"/>
        </w:rPr>
        <w:t xml:space="preserve">    [ ] Restaurar sistemas desde respaldo verificado (PROC-SGSI-02).</w:t>
      </w:r>
    </w:p>
    <w:p>
      <w:pPr>
        <w:spacing w:after="40"/>
      </w:pPr>
      <w:r>
        <w:rPr>
          <w:sz w:val="22"/>
        </w:rPr>
        <w:t xml:space="preserve">    [ ] Verificar integridad de datos post-restauración.</w:t>
      </w:r>
    </w:p>
    <w:p>
      <w:pPr>
        <w:spacing w:after="40"/>
      </w:pPr>
      <w:r>
        <w:rPr>
          <w:sz w:val="22"/>
        </w:rPr>
        <w:t xml:space="preserve">    [ ] Monitorear activamente los sistemas restaurados durante 72 horas.</w:t>
      </w:r>
    </w:p>
    <w:p>
      <w:pPr>
        <w:spacing w:after="40"/>
      </w:pPr>
      <w:r>
        <w:rPr>
          <w:sz w:val="22"/>
        </w:rPr>
        <w:t xml:space="preserve">    [ ] Autorización del CISO para volver a producción.</w:t>
      </w:r>
    </w:p>
    <w:p>
      <w:pPr>
        <w:spacing w:after="40"/>
      </w:pPr>
      <w:r>
        <w:rPr>
          <w:sz w:val="22"/>
        </w:rPr>
        <w:t xml:space="preserve">    [ ] Notificar a usuarios y áreas afectadas que el servicio está restaurado.</w:t>
      </w:r>
    </w:p>
    <w:p>
      <w:pPr>
        <w:spacing w:before="140"/>
      </w:pPr>
      <w:r>
        <w:rPr>
          <w:b/>
          <w:color w:val="2E74B5"/>
          <w:sz w:val="22"/>
        </w:rPr>
        <w:t>FASE 5 — Cierre y lecciones aprendidas (≤ 10 días hábiles post-cierre)</w:t>
      </w:r>
    </w:p>
    <w:p>
      <w:pPr>
        <w:spacing w:after="40"/>
      </w:pPr>
      <w:r>
        <w:rPr>
          <w:sz w:val="22"/>
        </w:rPr>
        <w:t xml:space="preserve">    [ ] Reunión de lecciones aprendidas: ERI + Gerencia TI + CISO.</w:t>
      </w:r>
    </w:p>
    <w:p>
      <w:pPr>
        <w:spacing w:after="40"/>
      </w:pPr>
      <w:r>
        <w:rPr>
          <w:sz w:val="22"/>
        </w:rPr>
        <w:t xml:space="preserve">    [ ] Redactar informe post-incidente (ver plantilla Anexo A).</w:t>
      </w:r>
    </w:p>
    <w:p>
      <w:pPr>
        <w:spacing w:after="40"/>
      </w:pPr>
      <w:r>
        <w:rPr>
          <w:sz w:val="22"/>
        </w:rPr>
        <w:t xml:space="preserve">    [ ] Actualizar la matriz de riesgos si el incidente reveló un riesgo no identificado.</w:t>
      </w:r>
    </w:p>
    <w:p>
      <w:pPr>
        <w:spacing w:after="40"/>
      </w:pPr>
      <w:r>
        <w:rPr>
          <w:sz w:val="22"/>
        </w:rPr>
        <w:t xml:space="preserve">    [ ] Incorporar mejoras al SGSI: nuevos controles, ajustes a procedimientos, capacitación.</w:t>
      </w:r>
    </w:p>
    <w:p>
      <w:pPr>
        <w:spacing w:after="40"/>
      </w:pPr>
      <w:r>
        <w:rPr>
          <w:sz w:val="22"/>
        </w:rPr>
        <w:t xml:space="preserve">    [ ] Cerrar el ticket ITSM con estado "Resuelto" y adjuntar el informe post-incidente.</w:t>
      </w:r>
    </w:p>
    <w:p>
      <w:pPr>
        <w:spacing w:after="40"/>
      </w:pPr>
      <w:r>
        <w:rPr>
          <w:sz w:val="22"/>
        </w:rPr>
        <w:t xml:space="preserve">    [ ] Archivar toda la evidencia en el repositorio de incidentes con retención ≥ 5 años.</w:t>
      </w:r>
    </w:p>
    <w:p>
      <w:pPr>
        <w:spacing w:before="140"/>
      </w:pPr>
      <w:r>
        <w:rPr>
          <w:b/>
          <w:color w:val="2E74B5"/>
          <w:sz w:val="22"/>
        </w:rPr>
        <w:t>Contactos de emergencia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Canal de reporte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ANCI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Portal oficial ANCI (www.anci.gob.cl)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Reporte de incidentes de ciberseguridad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CSIRT Chile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csirt@interior.gov.cl / +56 2 2486 7800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Apoyo técnico en respuesta a incidentes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CISO NovaRetail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+56 9 XXXX XXXX (guardia 24/7) / incidentes@novaretail.cl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Contacto 24/7 durante incidentes activos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PDI Cibercrimen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cibercrimen.pdi.cl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En caso de delito informático confirmado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Ticket ITSM del incidente con log cronológico completo</w:t>
      </w:r>
    </w:p>
    <w:p>
      <w:pPr>
        <w:spacing w:after="40"/>
      </w:pPr>
      <w:r>
        <w:rPr>
          <w:sz w:val="22"/>
        </w:rPr>
        <w:t>• Formulario de cadena de custodia de evidencia digital (firmado por el analista)</w:t>
      </w:r>
    </w:p>
    <w:p>
      <w:pPr>
        <w:spacing w:after="40"/>
      </w:pPr>
      <w:r>
        <w:rPr>
          <w:sz w:val="22"/>
        </w:rPr>
        <w:t>• Copias de los reportes enviados a ANCI (alerta temprana, inicial, final)</w:t>
      </w:r>
    </w:p>
    <w:p>
      <w:pPr>
        <w:spacing w:after="40"/>
      </w:pPr>
      <w:r>
        <w:rPr>
          <w:sz w:val="22"/>
        </w:rPr>
        <w:t>• Acuse de recibo de ANCI (si lo emite)</w:t>
      </w:r>
    </w:p>
    <w:p>
      <w:pPr>
        <w:spacing w:after="40"/>
      </w:pPr>
      <w:r>
        <w:rPr>
          <w:sz w:val="22"/>
        </w:rPr>
        <w:t>• Informe post-incidente con causa raíz y lecciones aprendidas</w:t>
      </w:r>
    </w:p>
    <w:p>
      <w:pPr>
        <w:spacing w:after="40"/>
      </w:pPr>
      <w:r>
        <w:rPr>
          <w:sz w:val="22"/>
        </w:rPr>
        <w:t>• Toda evidencia digital con hash SHA-256 — retención mínima 5 años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r>
        <w:rPr>
          <w:b/>
        </w:rPr>
        <w:t xml:space="preserve">Política base vinculada: </w:t>
      </w:r>
      <w:hyperlink r:id="rIdLnkB1" w:history="1">
        <w:r>
          <w:rPr>
            <w:color w:val="0563C1"/>
            <w:u w:val="single"/>
          </w:rPr>
          <w:t xml:space="preserve">POL-SGSI-11 — Política de gestión de incidentes y reporte ANCI</w:t>
        </w:r>
      </w:hyperlink>
    </w:p>
    <w:p>
      <w:pPr>
        <w:spacing w:after="40"/>
      </w:pPr>
      <w:r>
        <w:rPr>
          <w:sz w:val="22"/>
        </w:rPr>
        <w:t>• POL-SGSI-11 — Política de gestión de incidentes y reporte ANCI</w:t>
      </w:r>
    </w:p>
    <w:p>
      <w:pPr>
        <w:spacing w:after="40"/>
      </w:pPr>
      <w:r>
        <w:rPr>
          <w:sz w:val="22"/>
        </w:rPr>
        <w:t>• PROC-SGSI-02 — Procedimiento de backup de base de datos</w:t>
      </w:r>
    </w:p>
    <w:p>
      <w:pPr>
        <w:spacing w:after="40"/>
      </w:pPr>
      <w:r>
        <w:rPr>
          <w:sz w:val="22"/>
        </w:rPr>
        <w:t>• POL-SGSI-08 — Política de registro y monitoreo</w:t>
      </w:r>
    </w:p>
    <w:p>
      <w:pPr>
        <w:spacing w:after="40"/>
      </w:pPr>
      <w:r>
        <w:rPr>
          <w:sz w:val="22"/>
        </w:rPr>
        <w:t>• Ley N° 21.663 — Ley Marco de Ciberseguridad de Chile (2024)</w:t>
      </w:r>
    </w:p>
    <w:p>
      <w:pPr>
        <w:spacing w:after="40"/>
      </w:pPr>
      <w:r>
        <w:rPr>
          <w:sz w:val="22"/>
        </w:rPr>
        <w:t>• SoA – controles 5.24, 5.25, 5.26, 5.27, 5.28 (ISO/IEC 27001:2022)</w:t>
      </w:r>
    </w:p>
    <w:p>
      <w:pPr>
        <w:spacing w:after="40"/>
      </w:pPr>
      <w:r>
        <w:rPr>
          <w:sz w:val="22"/>
        </w:rPr>
        <w:t>• Matriz de riesgos (R-03, R-06, R-09, R-11, R-14, R-16)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LnkB1" Type="http://schemas.openxmlformats.org/officeDocument/2006/relationships/hyperlink" Target="../01-politicas/POL-SGSI-11%20-%20Pol%C3%ADtica%20de%20gesti%C3%B3n%20de%20incidentes%20y%20reporte%20ANCI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E434C9-B139-42F4-A20C-CD5A13CBBA4B}"/>
</file>

<file path=customXml/itemProps3.xml><?xml version="1.0" encoding="utf-8"?>
<ds:datastoreItem xmlns:ds="http://schemas.openxmlformats.org/officeDocument/2006/customXml" ds:itemID="{7DFC93C8-CD03-4EAC-ACF2-E60FCA6721D0}"/>
</file>

<file path=customXml/itemProps4.xml><?xml version="1.0" encoding="utf-8"?>
<ds:datastoreItem xmlns:ds="http://schemas.openxmlformats.org/officeDocument/2006/customXml" ds:itemID="{B22BA37D-F64A-4981-991B-6C291F0607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