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28"/>
        </w:rPr>
        <w:t>PROCEDIMIENTOS DEL SISTEMA DE GESTIÓN DE SEGURIDAD DE LA INFORMACIÓN</w:t>
      </w:r>
    </w:p>
    <w:p>
      <w:pPr>
        <w:jc w:val="center"/>
      </w:pPr>
      <w:r>
        <w:rPr>
          <w:b/>
        </w:rPr>
        <w:t>NovaRetail SpA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5669"/>
      </w:tblGrid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Actividad práctica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Gobernanza e Implementación de un SGSI</w:t>
            </w:r>
          </w:p>
        </w:tc>
      </w:tr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Asignatura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Gestión de la Ciberseguridad</w:t>
            </w:r>
          </w:p>
        </w:tc>
      </w:tr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Integrantes del grupo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Sergio Cubelli</w:t>
              <w:br/>
              <w:t>Savka Carvajal</w:t>
              <w:br/>
              <w:t>Joaquín Zambra</w:t>
              <w:br/>
              <w:t>Alejandro Tapia</w:t>
              <w:br/>
              <w:t>Filippo Moreno</w:t>
            </w:r>
          </w:p>
        </w:tc>
      </w:tr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Fecha de emisión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22-04-2026</w:t>
            </w:r>
          </w:p>
        </w:tc>
      </w:tr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Versión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Estado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Aprobado</w:t>
            </w:r>
          </w:p>
        </w:tc>
      </w:tr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Clasificación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Interno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1F3864"/>
          <w:sz w:val="28"/>
        </w:rPr>
        <w:t>PROC-SGSI-11 — Procedimiento de escaneo periódico de vulnerabilidades</w:t>
      </w:r>
    </w:p>
    <w:p>
      <w:pPr>
        <w:jc w:val="center"/>
      </w:pPr>
      <w:r>
        <w:rPr>
          <w:i/>
        </w:rPr>
        <w:t>Procedimiento operativo del SGSI de NovaRetail SpA.</w:t>
      </w:r>
    </w:p>
    <w:p/>
    <w:p>
      <w:pPr>
        <w:spacing w:before="200" w:after="80"/>
      </w:pPr>
      <w:r>
        <w:rPr>
          <w:b/>
          <w:color w:val="1F3864"/>
          <w:sz w:val="26"/>
        </w:rPr>
        <w:t>1. Control documental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Código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PROC-SGSI-11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Versión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Fecha de emisión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22-04-2026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Clasificación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Interno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Elaborado por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Equipo SGSI NovaRetail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Revisado por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CISO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Aprobado por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Gerencia General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Próxima revisión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22-04-2027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Políticas base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POL-SGSI-09 — Gestión de vulnerabilidades</w:t>
            </w:r>
          </w:p>
        </w:tc>
      </w:tr>
    </w:tbl>
    <w:p>
      <w:pPr>
        <w:spacing w:before="200" w:after="80"/>
      </w:pPr>
      <w:r>
        <w:rPr>
          <w:b/>
          <w:color w:val="1F3864"/>
          <w:sz w:val="26"/>
        </w:rPr>
        <w:t>2. Objetivo</w:t>
      </w:r>
    </w:p>
    <w:p>
      <w:pPr>
        <w:spacing w:after="40"/>
      </w:pPr>
      <w:r>
        <w:rPr>
          <w:sz w:val="22"/>
        </w:rPr>
        <w:t>Establecer el ciclo mensual de identificación, análisis, priorización y seguimiento de vulnerabilidades en los sistemas de NovaRetail SpA, utilizando herramientas open source y métricas CVSS, asegurando que cada hallazgo tenga un responsable y un plazo de remediación.</w:t>
      </w:r>
    </w:p>
    <w:p>
      <w:pPr>
        <w:spacing w:before="200" w:after="80"/>
      </w:pPr>
      <w:r>
        <w:rPr>
          <w:b/>
          <w:color w:val="1F3864"/>
          <w:sz w:val="26"/>
        </w:rPr>
        <w:t>3. Alcance</w:t>
      </w:r>
    </w:p>
    <w:p>
      <w:pPr>
        <w:spacing w:after="40"/>
      </w:pPr>
      <w:r>
        <w:rPr>
          <w:sz w:val="22"/>
        </w:rPr>
        <w:t>Servidores de producción (datacenter central y bodega regional), portal e-commerce, ERP, bases de datos, dispositivos de red y endpoints corporativos administrados por Gerencia TI. Los servicios cloud gestionados íntegramente por el proveedor se cubren mediante revisión de boletines de seguridad del proveedor.</w:t>
      </w:r>
    </w:p>
    <w:p>
      <w:pPr>
        <w:spacing w:before="200" w:after="80"/>
      </w:pPr>
      <w:r>
        <w:rPr>
          <w:b/>
          <w:color w:val="1F3864"/>
          <w:sz w:val="26"/>
        </w:rPr>
        <w:t>4. Roles y responsabilidades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  <w:shd w:val="clear" w:color="auto" w:fill="BDD7EE"/>
          </w:tcPr>
          <w:p>
            <w:r>
              <w:rPr>
                <w:b/>
                <w:sz w:val="20"/>
              </w:rPr>
              <w:t>CISO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Aprueba el plan de escaneo, revisa el informe mensual y prioriza los hallazgos críticos.</w:t>
            </w:r>
          </w:p>
        </w:tc>
      </w:tr>
      <w:tr>
        <w:tc>
          <w:tcPr>
            <w:tcW w:type="dxa" w:w="2268"/>
            <w:shd w:val="clear" w:color="auto" w:fill="BDD7EE"/>
          </w:tcPr>
          <w:p>
            <w:r>
              <w:rPr>
                <w:b/>
                <w:sz w:val="20"/>
              </w:rPr>
              <w:t>Gerencia TI (Infra)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Ejecuta los escaneos, analiza los resultados y coordina la remediación con los equipos responsables.</w:t>
            </w:r>
          </w:p>
        </w:tc>
      </w:tr>
      <w:tr>
        <w:tc>
          <w:tcPr>
            <w:tcW w:type="dxa" w:w="2268"/>
            <w:shd w:val="clear" w:color="auto" w:fill="BDD7EE"/>
          </w:tcPr>
          <w:p>
            <w:r>
              <w:rPr>
                <w:b/>
                <w:sz w:val="20"/>
              </w:rPr>
              <w:t>DBA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Remedia vulnerabilidades en motores de bases de datos.</w:t>
            </w:r>
          </w:p>
        </w:tc>
      </w:tr>
      <w:tr>
        <w:tc>
          <w:tcPr>
            <w:tcW w:type="dxa" w:w="2268"/>
            <w:shd w:val="clear" w:color="auto" w:fill="BDD7EE"/>
          </w:tcPr>
          <w:p>
            <w:r>
              <w:rPr>
                <w:b/>
                <w:sz w:val="20"/>
              </w:rPr>
              <w:t>Jefe Desarrollo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Remedia vulnerabilidades en el código del portal e-commerce (DAST/SAST).</w:t>
            </w:r>
          </w:p>
        </w:tc>
      </w:tr>
    </w:tbl>
    <w:p>
      <w:pPr>
        <w:spacing w:before="200" w:after="80"/>
      </w:pPr>
      <w:r>
        <w:rPr>
          <w:b/>
          <w:color w:val="1F3864"/>
          <w:sz w:val="26"/>
        </w:rPr>
        <w:t>5. Descripción del procedimiento</w:t>
      </w:r>
    </w:p>
    <w:p>
      <w:pPr>
        <w:spacing w:before="140"/>
      </w:pPr>
      <w:r>
        <w:rPr>
          <w:b/>
          <w:color w:val="2E74B5"/>
          <w:sz w:val="22"/>
        </w:rPr>
        <w:t>Paso 1 — Herramientas y calendario de escaneo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835"/>
        <w:gridCol w:w="1701"/>
        <w:gridCol w:w="2268"/>
      </w:tblGrid>
      <w:tr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Herramienta</w:t>
            </w:r>
          </w:p>
        </w:tc>
        <w:tc>
          <w:tcPr>
            <w:tcW w:type="dxa" w:w="2835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Alcance</w:t>
            </w:r>
          </w:p>
        </w:tc>
        <w:tc>
          <w:tcPr>
            <w:tcW w:type="dxa" w:w="1701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Frecuencia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Ejecutado por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OpenVAS / Greenbone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Servidores, red interna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Mensual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Gerencia TI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Nikto / OWASP ZAP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Portal e-commerce (DAST)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Mensual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Jefe Desarrollo + TI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Lynis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Hardening de servidores Linux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Mensual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Gerencia TI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npm audit / OWASP Dependency-Check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Dependencias de código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Con cada despliegue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Jefe Desarrollo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Revisión de boletines CVE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Todos los sistemas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Semanal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CISO / Gerencia TI</w:t>
            </w:r>
          </w:p>
        </w:tc>
      </w:tr>
    </w:tbl>
    <w:p>
      <w:pPr>
        <w:spacing w:after="40"/>
      </w:pPr>
      <w:r>
        <w:rPr>
          <w:sz w:val="22"/>
        </w:rPr>
        <w:t>Nota — Vulnerabilidades emergentes fuera de ciclo: cuando CSIRT Chile, un proveedor o el CISO alerta sobre un CVE crítico (CVSS ≥ 9.0) fuera del calendario mensual, Gerencia TI ejecuta un escaneo dirigido sobre los sistemas afectados dentro de las 24 horas. Si se confirma la vulnerabilidad, se activa PROC-SGSI-01 con el plazo crítico (48 horas), sin esperar el ciclo mensual ordinario.</w:t>
      </w:r>
    </w:p>
    <w:p>
      <w:pPr>
        <w:spacing w:before="140"/>
      </w:pPr>
      <w:r>
        <w:rPr>
          <w:b/>
          <w:color w:val="2E74B5"/>
          <w:sz w:val="22"/>
        </w:rPr>
        <w:t>Paso 2 — Ejecución del escaneo mensual</w:t>
      </w:r>
    </w:p>
    <w:p>
      <w:pPr>
        <w:spacing w:after="40"/>
      </w:pPr>
      <w:r>
        <w:rPr>
          <w:sz w:val="22"/>
        </w:rPr>
        <w:t>• El escaneo se ejecuta en la primera semana de cada mes, en horario de menor tráfico (fuera del horario de peak del e-commerce).</w:t>
      </w:r>
    </w:p>
    <w:p>
      <w:pPr>
        <w:spacing w:after="40"/>
      </w:pPr>
      <w:r>
        <w:rPr>
          <w:sz w:val="22"/>
        </w:rPr>
        <w:t>• Se escanean primero los sistemas más críticos (PCI, ERP, BD de clientes), luego los demás.</w:t>
      </w:r>
    </w:p>
    <w:p>
      <w:pPr>
        <w:spacing w:after="40"/>
      </w:pPr>
      <w:r>
        <w:rPr>
          <w:sz w:val="22"/>
        </w:rPr>
        <w:t>• Los escaneos de red se realizan desde un segmento de administración con credenciales para obtener resultados autenticados (más precisos).</w:t>
      </w:r>
    </w:p>
    <w:p>
      <w:pPr>
        <w:spacing w:after="40"/>
      </w:pPr>
      <w:r>
        <w:rPr>
          <w:sz w:val="22"/>
        </w:rPr>
        <w:t>• Los resultados se exportan en formato estándar (XML/PDF) y se almacenan en el repositorio de informes de seguridad.</w:t>
      </w:r>
    </w:p>
    <w:p>
      <w:pPr>
        <w:spacing w:before="140"/>
      </w:pPr>
      <w:r>
        <w:rPr>
          <w:b/>
          <w:color w:val="2E74B5"/>
          <w:sz w:val="22"/>
        </w:rPr>
        <w:t>Paso 3 — Análisis y priorización</w:t>
      </w:r>
    </w:p>
    <w:p>
      <w:pPr>
        <w:spacing w:after="40"/>
      </w:pPr>
      <w:r>
        <w:rPr>
          <w:sz w:val="22"/>
        </w:rPr>
        <w:t>Los hallazgos se priorizan usando la puntuación CVSS y el contexto de NovaRetail: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1701"/>
        <w:gridCol w:w="1984"/>
        <w:gridCol w:w="3685"/>
      </w:tblGrid>
      <w:tr>
        <w:tc>
          <w:tcPr>
            <w:tcW w:type="dxa" w:w="1701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Severidad</w:t>
            </w:r>
          </w:p>
        </w:tc>
        <w:tc>
          <w:tcPr>
            <w:tcW w:type="dxa" w:w="1701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CVSS</w:t>
            </w:r>
          </w:p>
        </w:tc>
        <w:tc>
          <w:tcPr>
            <w:tcW w:type="dxa" w:w="1984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Plazo remediación</w:t>
            </w:r>
          </w:p>
        </w:tc>
        <w:tc>
          <w:tcPr>
            <w:tcW w:type="dxa" w:w="3685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Criterio de priorización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Crítica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≥ 9.0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48 horas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Vulnerabilidad explotable remotamente o con PoC activo en sistemas PCI/ERP/portal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Alta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7.0–8.9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7 días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Vulnerabilidad con impacto significativo en sistemas de producción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Media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4.0–6.9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30 días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Vulnerabilidad con impacto limitado o que requiere acceso previo para explotar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Baja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&lt; 4.0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90 días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Mejoras de hardening o configuración sin riesgo de explotación inmediata</w:t>
            </w:r>
          </w:p>
        </w:tc>
      </w:tr>
    </w:tbl>
    <w:p>
      <w:pPr>
        <w:spacing w:before="140"/>
      </w:pPr>
      <w:r>
        <w:rPr>
          <w:b/>
          <w:color w:val="2E74B5"/>
          <w:sz w:val="22"/>
        </w:rPr>
        <w:t>Paso 4 — Seguimiento de remediación</w:t>
      </w:r>
    </w:p>
    <w:p>
      <w:pPr>
        <w:spacing w:after="40"/>
      </w:pPr>
      <w:r>
        <w:rPr>
          <w:sz w:val="22"/>
        </w:rPr>
        <w:t>• Por cada hallazgo se crea un ticket ITSM con: CVE/descripción, CVSS, sistema afectado, responsable de remediación y fecha límite.</w:t>
      </w:r>
    </w:p>
    <w:p>
      <w:pPr>
        <w:spacing w:after="40"/>
      </w:pPr>
      <w:r>
        <w:rPr>
          <w:sz w:val="22"/>
        </w:rPr>
        <w:t>• Gerencia TI verifica la remediación mediante re-escaneo dirigido una vez que el responsable cierra el ticket.</w:t>
      </w:r>
    </w:p>
    <w:p>
      <w:pPr>
        <w:spacing w:after="40"/>
      </w:pPr>
      <w:r>
        <w:rPr>
          <w:sz w:val="22"/>
        </w:rPr>
        <w:t>• Las vulnerabilidades críticas se re-escanean dentro de las 24 horas post-remediación.</w:t>
      </w:r>
    </w:p>
    <w:p>
      <w:pPr>
        <w:spacing w:after="40"/>
      </w:pPr>
      <w:r>
        <w:rPr>
          <w:sz w:val="22"/>
        </w:rPr>
        <w:t>• Si un hallazgo no puede remediarse en el plazo (dependencia de proveedor, impacto operacional), el CISO documenta la excepción y los controles compensatorios.</w:t>
      </w:r>
    </w:p>
    <w:p>
      <w:pPr>
        <w:spacing w:before="140"/>
      </w:pPr>
      <w:r>
        <w:rPr>
          <w:b/>
          <w:color w:val="2E74B5"/>
          <w:sz w:val="22"/>
        </w:rPr>
        <w:t>Paso 5 — Informe mensual de vulnerabilidades</w:t>
      </w:r>
    </w:p>
    <w:p>
      <w:pPr>
        <w:spacing w:after="40"/>
      </w:pPr>
      <w:r>
        <w:rPr>
          <w:sz w:val="22"/>
        </w:rPr>
        <w:t>Al cierre del ciclo mensual, el CISO recibe un informe con:</w:t>
      </w:r>
    </w:p>
    <w:p>
      <w:pPr>
        <w:spacing w:after="40"/>
      </w:pPr>
      <w:r>
        <w:rPr>
          <w:sz w:val="22"/>
        </w:rPr>
        <w:t>• Total de hallazgos por severidad</w:t>
      </w:r>
    </w:p>
    <w:p>
      <w:pPr>
        <w:spacing w:after="40"/>
      </w:pPr>
      <w:r>
        <w:rPr>
          <w:sz w:val="22"/>
        </w:rPr>
        <w:t>• Hallazgos nuevos vs. hallazgos recurrentes</w:t>
      </w:r>
    </w:p>
    <w:p>
      <w:pPr>
        <w:spacing w:after="40"/>
      </w:pPr>
      <w:r>
        <w:rPr>
          <w:sz w:val="22"/>
        </w:rPr>
        <w:t>• Estado de remediación: resueltos / en progreso / con excepción aprobada</w:t>
      </w:r>
    </w:p>
    <w:p>
      <w:pPr>
        <w:spacing w:after="40"/>
      </w:pPr>
      <w:r>
        <w:rPr>
          <w:sz w:val="22"/>
        </w:rPr>
        <w:t>• Tiempo promedio de remediación por severidad (indicador KPI)</w:t>
      </w:r>
    </w:p>
    <w:p>
      <w:pPr>
        <w:spacing w:after="40"/>
      </w:pPr>
      <w:r>
        <w:rPr>
          <w:sz w:val="22"/>
        </w:rPr>
        <w:t>• Top 5 sistemas con mayor cantidad de vulnerabilidades</w:t>
      </w:r>
    </w:p>
    <w:p>
      <w:pPr>
        <w:spacing w:before="200" w:after="80"/>
      </w:pPr>
      <w:r>
        <w:rPr>
          <w:b/>
          <w:color w:val="1F3864"/>
          <w:sz w:val="26"/>
        </w:rPr>
        <w:t>6. Registros y evidencias</w:t>
      </w:r>
    </w:p>
    <w:p>
      <w:pPr>
        <w:spacing w:after="40"/>
      </w:pPr>
      <w:r>
        <w:rPr>
          <w:sz w:val="22"/>
        </w:rPr>
        <w:t>• Informes de escaneo crudos exportados (XML/PDF, retención 12 meses)</w:t>
      </w:r>
    </w:p>
    <w:p>
      <w:pPr>
        <w:spacing w:after="40"/>
      </w:pPr>
      <w:r>
        <w:rPr>
          <w:sz w:val="22"/>
        </w:rPr>
        <w:t>• Tickets ITSM de remediación por cada hallazgo</w:t>
      </w:r>
    </w:p>
    <w:p>
      <w:pPr>
        <w:spacing w:after="40"/>
      </w:pPr>
      <w:r>
        <w:rPr>
          <w:sz w:val="22"/>
        </w:rPr>
        <w:t>• Informe mensual consolidado firmado por CISO</w:t>
      </w:r>
    </w:p>
    <w:p>
      <w:pPr>
        <w:spacing w:after="40"/>
      </w:pPr>
      <w:r>
        <w:rPr>
          <w:sz w:val="22"/>
        </w:rPr>
        <w:t>• Registro de excepciones aprobadas con controles compensatorios</w:t>
      </w:r>
    </w:p>
    <w:p>
      <w:pPr>
        <w:spacing w:before="200" w:after="80"/>
      </w:pPr>
      <w:r>
        <w:rPr>
          <w:b/>
          <w:color w:val="1F3864"/>
          <w:sz w:val="26"/>
        </w:rPr>
        <w:t>7. Documentos relacionados</w:t>
      </w:r>
    </w:p>
    <w:p>
      <w:r>
        <w:rPr>
          <w:b/>
        </w:rPr>
        <w:t xml:space="preserve">Política base vinculada: </w:t>
      </w:r>
      <w:hyperlink r:id="rIdLnkB1" w:history="1">
        <w:r>
          <w:rPr>
            <w:color w:val="0563C1"/>
            <w:u w:val="single"/>
          </w:rPr>
          <w:t xml:space="preserve">POL-SGSI-09 — Política de gestión de vulnerabilidades</w:t>
        </w:r>
      </w:hyperlink>
    </w:p>
    <w:p>
      <w:pPr>
        <w:spacing w:after="40"/>
      </w:pPr>
      <w:r>
        <w:rPr>
          <w:sz w:val="22"/>
        </w:rPr>
        <w:t>• POL-SGSI-09 — Política de gestión de vulnerabilidades</w:t>
      </w:r>
    </w:p>
    <w:p>
      <w:pPr>
        <w:spacing w:after="40"/>
      </w:pPr>
      <w:r>
        <w:rPr>
          <w:sz w:val="22"/>
        </w:rPr>
        <w:t>• PROC-SGSI-01 — Procedimiento de actualización y gestión de parches</w:t>
      </w:r>
    </w:p>
    <w:p>
      <w:pPr>
        <w:spacing w:after="40"/>
      </w:pPr>
      <w:r>
        <w:rPr>
          <w:sz w:val="22"/>
        </w:rPr>
        <w:t>• PROC-SGSI-04 — Procedimiento de línea base de software</w:t>
      </w:r>
    </w:p>
    <w:p>
      <w:pPr>
        <w:spacing w:after="40"/>
      </w:pPr>
      <w:r>
        <w:rPr>
          <w:sz w:val="22"/>
        </w:rPr>
        <w:t>• SoA – controles 8.8, 8.29 (ISO/IEC 27001:2022)</w:t>
      </w:r>
    </w:p>
    <w:p>
      <w:pPr>
        <w:spacing w:after="40"/>
      </w:pPr>
      <w:r>
        <w:rPr>
          <w:sz w:val="22"/>
        </w:rPr>
        <w:t>• Matriz de riesgos (R-04, R-09, R-17)</w:t>
      </w:r>
    </w:p>
    <w:p>
      <w:pPr>
        <w:spacing w:before="200" w:after="80"/>
      </w:pPr>
      <w:r>
        <w:rPr>
          <w:b/>
          <w:color w:val="1F3864"/>
          <w:sz w:val="26"/>
        </w:rPr>
        <w:t>8. Control de cambios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BDD7EE"/>
          </w:tcPr>
          <w:p>
            <w:r>
              <w:rPr>
                <w:b/>
                <w:color w:val="000000"/>
                <w:sz w:val="20"/>
              </w:rPr>
              <w:t>Versión</w:t>
            </w:r>
          </w:p>
        </w:tc>
        <w:tc>
          <w:tcPr>
            <w:tcW w:type="dxa" w:w="2280"/>
            <w:shd w:val="clear" w:color="auto" w:fill="BDD7EE"/>
          </w:tcPr>
          <w:p>
            <w:r>
              <w:rPr>
                <w:b/>
                <w:color w:val="000000"/>
                <w:sz w:val="20"/>
              </w:rPr>
              <w:t>Fecha</w:t>
            </w:r>
          </w:p>
        </w:tc>
        <w:tc>
          <w:tcPr>
            <w:tcW w:type="dxa" w:w="2280"/>
            <w:shd w:val="clear" w:color="auto" w:fill="BDD7EE"/>
          </w:tcPr>
          <w:p>
            <w:r>
              <w:rPr>
                <w:b/>
                <w:color w:val="000000"/>
                <w:sz w:val="20"/>
              </w:rPr>
              <w:t>Descripción del cambio</w:t>
            </w:r>
          </w:p>
        </w:tc>
        <w:tc>
          <w:tcPr>
            <w:tcW w:type="dxa" w:w="2280"/>
            <w:shd w:val="clear" w:color="auto" w:fill="BDD7EE"/>
          </w:tcPr>
          <w:p>
            <w:r>
              <w:rPr>
                <w:b/>
                <w:color w:val="000000"/>
                <w:sz w:val="20"/>
              </w:rPr>
              <w:t>Responsable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22-04-2026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Emisión inicial del documento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Equipo SGSI NovaRetail</w:t>
            </w:r>
          </w:p>
        </w:tc>
      </w:tr>
    </w:tbl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Relationship Id="rIdLnkB1" Type="http://schemas.openxmlformats.org/officeDocument/2006/relationships/hyperlink" Target="../01-politicas/POL-SGSI-09%20-%20Pol%C3%ADtica%20de%20gesti%C3%B3n%20de%20vulnerabilidades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157D06D9BF21845883178A07635BF0C" ma:contentTypeVersion="10" ma:contentTypeDescription="Crear nuevo documento." ma:contentTypeScope="" ma:versionID="575d623067b72151a8374f2b990c1272">
  <xsd:schema xmlns:xsd="http://www.w3.org/2001/XMLSchema" xmlns:xs="http://www.w3.org/2001/XMLSchema" xmlns:p="http://schemas.microsoft.com/office/2006/metadata/properties" xmlns:ns2="ba7224a4-a1e3-4c3e-badf-085058869b86" xmlns:ns3="4fc427ff-965a-4fb4-bd01-7c253ae8b03b" targetNamespace="http://schemas.microsoft.com/office/2006/metadata/properties" ma:root="true" ma:fieldsID="53e290cc238b21a49accbbf14491a7b2" ns2:_="" ns3:_="">
    <xsd:import namespace="ba7224a4-a1e3-4c3e-badf-085058869b86"/>
    <xsd:import namespace="4fc427ff-965a-4fb4-bd01-7c253ae8b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7224a4-a1e3-4c3e-badf-085058869b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e777c97-9e47-4338-8e8a-2390167a35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c427ff-965a-4fb4-bd01-7c253ae8b03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6247468-c4c7-4c67-a550-c3fa8442b9ab}" ma:internalName="TaxCatchAll" ma:showField="CatchAllData" ma:web="4fc427ff-965a-4fb4-bd01-7c253ae8b0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a7224a4-a1e3-4c3e-badf-085058869b86">
      <Terms xmlns="http://schemas.microsoft.com/office/infopath/2007/PartnerControls"/>
    </lcf76f155ced4ddcb4097134ff3c332f>
    <TaxCatchAll xmlns="4fc427ff-965a-4fb4-bd01-7c253ae8b03b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3795E36-7954-4825-A9B6-5A8E852295F1}"/>
</file>

<file path=customXml/itemProps3.xml><?xml version="1.0" encoding="utf-8"?>
<ds:datastoreItem xmlns:ds="http://schemas.openxmlformats.org/officeDocument/2006/customXml" ds:itemID="{479CEA7A-2D1A-4DF4-9FB5-AD6A9179CAA4}"/>
</file>

<file path=customXml/itemProps4.xml><?xml version="1.0" encoding="utf-8"?>
<ds:datastoreItem xmlns:ds="http://schemas.openxmlformats.org/officeDocument/2006/customXml" ds:itemID="{CACF32D8-FFB2-4839-993B-1FF1BBE18CE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0x010100F157D06D9BF21845883178A07635BF0C</vt:lpwstr>
  </property>
</Properties>
</file>